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FFB9" w14:textId="77777777" w:rsidR="007157EB" w:rsidRDefault="00000000">
      <w:pPr>
        <w:spacing w:after="120"/>
        <w:jc w:val="center"/>
      </w:pPr>
      <w:r>
        <w:rPr>
          <w:b/>
          <w:bCs/>
          <w:sz w:val="32"/>
          <w:szCs w:val="32"/>
        </w:rPr>
        <w:t>SPIPA Proposal Abstract</w:t>
      </w:r>
    </w:p>
    <w:p w14:paraId="308DFFBA" w14:textId="77777777" w:rsidR="007157EB" w:rsidRDefault="00000000">
      <w:pPr>
        <w:spacing w:after="240"/>
        <w:jc w:val="center"/>
      </w:pPr>
      <w:r>
        <w:rPr>
          <w:i/>
          <w:iCs/>
          <w:sz w:val="24"/>
          <w:szCs w:val="24"/>
        </w:rPr>
        <w:t>PY 2026 WIOA Section 166 Adult and Supplemental Youth Employment and Training</w:t>
      </w:r>
    </w:p>
    <w:p w14:paraId="308DFFBB" w14:textId="77777777" w:rsidR="007157EB" w:rsidRDefault="00000000">
      <w:pPr>
        <w:spacing w:after="240"/>
      </w:pPr>
      <w:r>
        <w:rPr>
          <w:i/>
          <w:iCs/>
          <w:sz w:val="20"/>
          <w:szCs w:val="20"/>
        </w:rPr>
        <w:t>Prepared by SPIPA staff as a planning and communication tool. All new projects, after funding and prior to implementation, require an executed Memorandum of Agreement between SPIPA and the participating Tribes.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7157EB" w14:paraId="308DFFBE" w14:textId="77777777">
        <w:tblPrEx>
          <w:tblCellMar>
            <w:top w:w="0" w:type="dxa"/>
            <w:bottom w:w="0" w:type="dxa"/>
          </w:tblCellMar>
        </w:tblPrEx>
        <w:tc>
          <w:tcPr>
            <w:tcW w:w="2800" w:type="dxa"/>
            <w:tcBorders>
              <w:top w:val="single" w:sz="4" w:space="0" w:color="BFBFBF"/>
              <w:left w:val="single" w:sz="4" w:space="0" w:color="BFBFBF"/>
              <w:bottom w:val="single" w:sz="4" w:space="0" w:color="BFBFBF"/>
              <w:right w:val="single" w:sz="4" w:space="0" w:color="BFBFBF"/>
            </w:tcBorders>
            <w:shd w:val="clear" w:color="auto" w:fill="E7EEF5"/>
            <w:tcMar>
              <w:top w:w="100" w:type="dxa"/>
              <w:left w:w="140" w:type="dxa"/>
              <w:bottom w:w="100" w:type="dxa"/>
              <w:right w:w="140" w:type="dxa"/>
            </w:tcMar>
          </w:tcPr>
          <w:p w14:paraId="308DFFBC" w14:textId="77777777" w:rsidR="007157EB" w:rsidRDefault="00000000">
            <w:r>
              <w:rPr>
                <w:b/>
                <w:bCs/>
              </w:rPr>
              <w:t>Agency</w:t>
            </w:r>
          </w:p>
        </w:tc>
        <w:tc>
          <w:tcPr>
            <w:tcW w:w="65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08DFFBD" w14:textId="77777777" w:rsidR="007157EB" w:rsidRDefault="00000000">
            <w:r>
              <w:t>U.S. Department of Labor, Employment and Training Administration</w:t>
            </w:r>
          </w:p>
        </w:tc>
      </w:tr>
      <w:tr w:rsidR="007157EB" w14:paraId="308DFFC1" w14:textId="77777777">
        <w:tblPrEx>
          <w:tblCellMar>
            <w:top w:w="0" w:type="dxa"/>
            <w:bottom w:w="0" w:type="dxa"/>
          </w:tblCellMar>
        </w:tblPrEx>
        <w:tc>
          <w:tcPr>
            <w:tcW w:w="2800" w:type="dxa"/>
            <w:tcBorders>
              <w:top w:val="single" w:sz="4" w:space="0" w:color="BFBFBF"/>
              <w:left w:val="single" w:sz="4" w:space="0" w:color="BFBFBF"/>
              <w:bottom w:val="single" w:sz="4" w:space="0" w:color="BFBFBF"/>
              <w:right w:val="single" w:sz="4" w:space="0" w:color="BFBFBF"/>
            </w:tcBorders>
            <w:shd w:val="clear" w:color="auto" w:fill="E7EEF5"/>
            <w:tcMar>
              <w:top w:w="100" w:type="dxa"/>
              <w:left w:w="140" w:type="dxa"/>
              <w:bottom w:w="100" w:type="dxa"/>
              <w:right w:w="140" w:type="dxa"/>
            </w:tcMar>
          </w:tcPr>
          <w:p w14:paraId="308DFFBF" w14:textId="77777777" w:rsidR="007157EB" w:rsidRDefault="00000000">
            <w:r>
              <w:rPr>
                <w:b/>
                <w:bCs/>
              </w:rPr>
              <w:t>Program</w:t>
            </w:r>
          </w:p>
        </w:tc>
        <w:tc>
          <w:tcPr>
            <w:tcW w:w="65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08DFFC0" w14:textId="77777777" w:rsidR="007157EB" w:rsidRDefault="00000000">
            <w:r>
              <w:t>Program Year 2026 Workforce Innovation and Opportunity Act (WIOA), Indian and Native American Programs — Employment and Training, Adult (CSP) and Supplemental Youth (SYSP)</w:t>
            </w:r>
          </w:p>
        </w:tc>
      </w:tr>
      <w:tr w:rsidR="007157EB" w14:paraId="308DFFC4" w14:textId="77777777">
        <w:tblPrEx>
          <w:tblCellMar>
            <w:top w:w="0" w:type="dxa"/>
            <w:bottom w:w="0" w:type="dxa"/>
          </w:tblCellMar>
        </w:tblPrEx>
        <w:tc>
          <w:tcPr>
            <w:tcW w:w="2800" w:type="dxa"/>
            <w:tcBorders>
              <w:top w:val="single" w:sz="4" w:space="0" w:color="BFBFBF"/>
              <w:left w:val="single" w:sz="4" w:space="0" w:color="BFBFBF"/>
              <w:bottom w:val="single" w:sz="4" w:space="0" w:color="BFBFBF"/>
              <w:right w:val="single" w:sz="4" w:space="0" w:color="BFBFBF"/>
            </w:tcBorders>
            <w:shd w:val="clear" w:color="auto" w:fill="E7EEF5"/>
            <w:tcMar>
              <w:top w:w="100" w:type="dxa"/>
              <w:left w:w="140" w:type="dxa"/>
              <w:bottom w:w="100" w:type="dxa"/>
              <w:right w:w="140" w:type="dxa"/>
            </w:tcMar>
          </w:tcPr>
          <w:p w14:paraId="308DFFC2" w14:textId="77777777" w:rsidR="007157EB" w:rsidRDefault="00000000">
            <w:r>
              <w:rPr>
                <w:b/>
                <w:bCs/>
              </w:rPr>
              <w:t>Funding Type</w:t>
            </w:r>
          </w:p>
        </w:tc>
        <w:tc>
          <w:tcPr>
            <w:tcW w:w="65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08DFFC3" w14:textId="77777777" w:rsidR="007157EB" w:rsidRDefault="00000000">
            <w:r>
              <w:t>Formula, population-based, using SPIPA Tribal service areas and the WIOA 166 expanded service area defined in the current 477 Plan. Final award determined by DOL.</w:t>
            </w:r>
          </w:p>
        </w:tc>
      </w:tr>
      <w:tr w:rsidR="007157EB" w14:paraId="308DFFC7" w14:textId="77777777">
        <w:tblPrEx>
          <w:tblCellMar>
            <w:top w:w="0" w:type="dxa"/>
            <w:bottom w:w="0" w:type="dxa"/>
          </w:tblCellMar>
        </w:tblPrEx>
        <w:tc>
          <w:tcPr>
            <w:tcW w:w="2800" w:type="dxa"/>
            <w:tcBorders>
              <w:top w:val="single" w:sz="4" w:space="0" w:color="BFBFBF"/>
              <w:left w:val="single" w:sz="4" w:space="0" w:color="BFBFBF"/>
              <w:bottom w:val="single" w:sz="4" w:space="0" w:color="BFBFBF"/>
              <w:right w:val="single" w:sz="4" w:space="0" w:color="BFBFBF"/>
            </w:tcBorders>
            <w:shd w:val="clear" w:color="auto" w:fill="E7EEF5"/>
            <w:tcMar>
              <w:top w:w="100" w:type="dxa"/>
              <w:left w:w="140" w:type="dxa"/>
              <w:bottom w:w="100" w:type="dxa"/>
              <w:right w:w="140" w:type="dxa"/>
            </w:tcMar>
          </w:tcPr>
          <w:p w14:paraId="308DFFC5" w14:textId="77777777" w:rsidR="007157EB" w:rsidRDefault="00000000">
            <w:r>
              <w:rPr>
                <w:b/>
                <w:bCs/>
              </w:rPr>
              <w:t>Anticipated PY 2026 Award</w:t>
            </w:r>
          </w:p>
        </w:tc>
        <w:tc>
          <w:tcPr>
            <w:tcW w:w="65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08DFFC6" w14:textId="77777777" w:rsidR="007157EB" w:rsidRDefault="00000000">
            <w:r>
              <w:t>Adult: $</w:t>
            </w:r>
            <w:proofErr w:type="gramStart"/>
            <w:r>
              <w:t>622,995  |</w:t>
            </w:r>
            <w:proofErr w:type="gramEnd"/>
            <w:r>
              <w:t xml:space="preserve">  Youth: $</w:t>
            </w:r>
            <w:proofErr w:type="gramStart"/>
            <w:r>
              <w:t>91,995  |</w:t>
            </w:r>
            <w:proofErr w:type="gramEnd"/>
            <w:r>
              <w:t xml:space="preserve">  Combined: $714,990 (planning figures based on pre-application allocation tables; not guaranteed)</w:t>
            </w:r>
          </w:p>
        </w:tc>
      </w:tr>
      <w:tr w:rsidR="007157EB" w14:paraId="308DFFCA" w14:textId="77777777">
        <w:tblPrEx>
          <w:tblCellMar>
            <w:top w:w="0" w:type="dxa"/>
            <w:bottom w:w="0" w:type="dxa"/>
          </w:tblCellMar>
        </w:tblPrEx>
        <w:tc>
          <w:tcPr>
            <w:tcW w:w="2800" w:type="dxa"/>
            <w:tcBorders>
              <w:top w:val="single" w:sz="4" w:space="0" w:color="BFBFBF"/>
              <w:left w:val="single" w:sz="4" w:space="0" w:color="BFBFBF"/>
              <w:bottom w:val="single" w:sz="4" w:space="0" w:color="BFBFBF"/>
              <w:right w:val="single" w:sz="4" w:space="0" w:color="BFBFBF"/>
            </w:tcBorders>
            <w:shd w:val="clear" w:color="auto" w:fill="E7EEF5"/>
            <w:tcMar>
              <w:top w:w="100" w:type="dxa"/>
              <w:left w:w="140" w:type="dxa"/>
              <w:bottom w:w="100" w:type="dxa"/>
              <w:right w:w="140" w:type="dxa"/>
            </w:tcMar>
          </w:tcPr>
          <w:p w14:paraId="308DFFC8" w14:textId="77777777" w:rsidR="007157EB" w:rsidRDefault="00000000">
            <w:r>
              <w:rPr>
                <w:b/>
                <w:bCs/>
              </w:rPr>
              <w:t>Project Duration</w:t>
            </w:r>
          </w:p>
        </w:tc>
        <w:tc>
          <w:tcPr>
            <w:tcW w:w="65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08DFFC9" w14:textId="77777777" w:rsidR="007157EB" w:rsidRDefault="00000000">
            <w:r>
              <w:t>36-month period of performance per annual award. Recipients selected in PY 2026 may also receive annual awards for PYs 2027, 2028, and 2029, each with a separate grant number.</w:t>
            </w:r>
          </w:p>
        </w:tc>
      </w:tr>
      <w:tr w:rsidR="007157EB" w14:paraId="308DFFCD" w14:textId="77777777">
        <w:tblPrEx>
          <w:tblCellMar>
            <w:top w:w="0" w:type="dxa"/>
            <w:bottom w:w="0" w:type="dxa"/>
          </w:tblCellMar>
        </w:tblPrEx>
        <w:tc>
          <w:tcPr>
            <w:tcW w:w="2800" w:type="dxa"/>
            <w:tcBorders>
              <w:top w:val="single" w:sz="4" w:space="0" w:color="BFBFBF"/>
              <w:left w:val="single" w:sz="4" w:space="0" w:color="BFBFBF"/>
              <w:bottom w:val="single" w:sz="4" w:space="0" w:color="BFBFBF"/>
              <w:right w:val="single" w:sz="4" w:space="0" w:color="BFBFBF"/>
            </w:tcBorders>
            <w:shd w:val="clear" w:color="auto" w:fill="E7EEF5"/>
            <w:tcMar>
              <w:top w:w="100" w:type="dxa"/>
              <w:left w:w="140" w:type="dxa"/>
              <w:bottom w:w="100" w:type="dxa"/>
              <w:right w:w="140" w:type="dxa"/>
            </w:tcMar>
          </w:tcPr>
          <w:p w14:paraId="308DFFCB" w14:textId="77777777" w:rsidR="007157EB" w:rsidRDefault="00000000">
            <w:r>
              <w:rPr>
                <w:b/>
                <w:bCs/>
              </w:rPr>
              <w:t>Deadline</w:t>
            </w:r>
          </w:p>
        </w:tc>
        <w:tc>
          <w:tcPr>
            <w:tcW w:w="65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08DFFCC" w14:textId="77777777" w:rsidR="007157EB" w:rsidRDefault="00000000">
            <w:r>
              <w:t>May 22, 2026, 11:59 p.m. Eastern</w:t>
            </w:r>
          </w:p>
        </w:tc>
      </w:tr>
      <w:tr w:rsidR="007157EB" w14:paraId="308DFFD0" w14:textId="77777777">
        <w:tblPrEx>
          <w:tblCellMar>
            <w:top w:w="0" w:type="dxa"/>
            <w:bottom w:w="0" w:type="dxa"/>
          </w:tblCellMar>
        </w:tblPrEx>
        <w:tc>
          <w:tcPr>
            <w:tcW w:w="2800" w:type="dxa"/>
            <w:tcBorders>
              <w:top w:val="single" w:sz="4" w:space="0" w:color="BFBFBF"/>
              <w:left w:val="single" w:sz="4" w:space="0" w:color="BFBFBF"/>
              <w:bottom w:val="single" w:sz="4" w:space="0" w:color="BFBFBF"/>
              <w:right w:val="single" w:sz="4" w:space="0" w:color="BFBFBF"/>
            </w:tcBorders>
            <w:shd w:val="clear" w:color="auto" w:fill="E7EEF5"/>
            <w:tcMar>
              <w:top w:w="100" w:type="dxa"/>
              <w:left w:w="140" w:type="dxa"/>
              <w:bottom w:w="100" w:type="dxa"/>
              <w:right w:w="140" w:type="dxa"/>
            </w:tcMar>
          </w:tcPr>
          <w:p w14:paraId="308DFFCE" w14:textId="77777777" w:rsidR="007157EB" w:rsidRDefault="00000000">
            <w:r>
              <w:rPr>
                <w:b/>
                <w:bCs/>
              </w:rPr>
              <w:t>Today’s Date</w:t>
            </w:r>
          </w:p>
        </w:tc>
        <w:tc>
          <w:tcPr>
            <w:tcW w:w="65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08DFFCF" w14:textId="77777777" w:rsidR="007157EB" w:rsidRDefault="00000000">
            <w:r>
              <w:t>April 23, 2026</w:t>
            </w:r>
          </w:p>
        </w:tc>
      </w:tr>
      <w:tr w:rsidR="007157EB" w14:paraId="308DFFD3" w14:textId="77777777">
        <w:tblPrEx>
          <w:tblCellMar>
            <w:top w:w="0" w:type="dxa"/>
            <w:bottom w:w="0" w:type="dxa"/>
          </w:tblCellMar>
        </w:tblPrEx>
        <w:tc>
          <w:tcPr>
            <w:tcW w:w="2800" w:type="dxa"/>
            <w:tcBorders>
              <w:top w:val="single" w:sz="4" w:space="0" w:color="BFBFBF"/>
              <w:left w:val="single" w:sz="4" w:space="0" w:color="BFBFBF"/>
              <w:bottom w:val="single" w:sz="4" w:space="0" w:color="BFBFBF"/>
              <w:right w:val="single" w:sz="4" w:space="0" w:color="BFBFBF"/>
            </w:tcBorders>
            <w:shd w:val="clear" w:color="auto" w:fill="E7EEF5"/>
            <w:tcMar>
              <w:top w:w="100" w:type="dxa"/>
              <w:left w:w="140" w:type="dxa"/>
              <w:bottom w:w="100" w:type="dxa"/>
              <w:right w:w="140" w:type="dxa"/>
            </w:tcMar>
          </w:tcPr>
          <w:p w14:paraId="308DFFD1" w14:textId="77777777" w:rsidR="007157EB" w:rsidRDefault="00000000">
            <w:r>
              <w:rPr>
                <w:b/>
                <w:bCs/>
              </w:rPr>
              <w:t>SPIPA Project Lead</w:t>
            </w:r>
          </w:p>
        </w:tc>
        <w:tc>
          <w:tcPr>
            <w:tcW w:w="65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08DFFD2" w14:textId="77777777" w:rsidR="007157EB" w:rsidRDefault="00000000">
            <w:r>
              <w:t>Jeremiah Szepanski</w:t>
            </w:r>
          </w:p>
        </w:tc>
      </w:tr>
      <w:tr w:rsidR="007157EB" w14:paraId="308DFFD6" w14:textId="77777777">
        <w:tblPrEx>
          <w:tblCellMar>
            <w:top w:w="0" w:type="dxa"/>
            <w:bottom w:w="0" w:type="dxa"/>
          </w:tblCellMar>
        </w:tblPrEx>
        <w:tc>
          <w:tcPr>
            <w:tcW w:w="2800" w:type="dxa"/>
            <w:tcBorders>
              <w:top w:val="single" w:sz="4" w:space="0" w:color="BFBFBF"/>
              <w:left w:val="single" w:sz="4" w:space="0" w:color="BFBFBF"/>
              <w:bottom w:val="single" w:sz="4" w:space="0" w:color="BFBFBF"/>
              <w:right w:val="single" w:sz="4" w:space="0" w:color="BFBFBF"/>
            </w:tcBorders>
            <w:shd w:val="clear" w:color="auto" w:fill="E7EEF5"/>
            <w:tcMar>
              <w:top w:w="100" w:type="dxa"/>
              <w:left w:w="140" w:type="dxa"/>
              <w:bottom w:w="100" w:type="dxa"/>
              <w:right w:w="140" w:type="dxa"/>
            </w:tcMar>
          </w:tcPr>
          <w:p w14:paraId="308DFFD4" w14:textId="77777777" w:rsidR="007157EB" w:rsidRDefault="00000000">
            <w:r>
              <w:rPr>
                <w:b/>
                <w:bCs/>
              </w:rPr>
              <w:t>Application Path</w:t>
            </w:r>
          </w:p>
        </w:tc>
        <w:tc>
          <w:tcPr>
            <w:tcW w:w="65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08DFFD5" w14:textId="77777777" w:rsidR="007157EB" w:rsidRDefault="00000000">
            <w:r>
              <w:t>Public Law 102-477 simplified submission (SF-424 only for each program)</w:t>
            </w:r>
          </w:p>
        </w:tc>
      </w:tr>
    </w:tbl>
    <w:p w14:paraId="308DFFD7" w14:textId="77777777" w:rsidR="007157EB" w:rsidRDefault="007157EB">
      <w:pPr>
        <w:spacing w:after="160"/>
      </w:pPr>
    </w:p>
    <w:p w14:paraId="308DFFD8" w14:textId="77777777" w:rsidR="007157EB" w:rsidRDefault="00000000">
      <w:pPr>
        <w:pStyle w:val="Heading2"/>
      </w:pPr>
      <w:r>
        <w:t>Purpose</w:t>
      </w:r>
    </w:p>
    <w:p w14:paraId="308DFFD9" w14:textId="77777777" w:rsidR="007157EB" w:rsidRDefault="00000000">
      <w:pPr>
        <w:spacing w:after="160"/>
      </w:pPr>
      <w:r>
        <w:t>SPIPA plans to apply for both the WIOA Section 166 Adult (CSP) and Supplemental Youth (SYSP) programs for PY 2026 and, if awarded, integrate the funding into SPIPA’s existing Public Law 102-477 Workforce Development Program. The current 477 Plan already incorporates WIOA Adult Comprehensive and Supplemental Youth as integrated funding sources, so no new program structure is needed.</w:t>
      </w:r>
    </w:p>
    <w:p w14:paraId="308DFFDA" w14:textId="77777777" w:rsidR="007157EB" w:rsidRDefault="00000000">
      <w:pPr>
        <w:pStyle w:val="Heading2"/>
      </w:pPr>
      <w:r>
        <w:t>Population Served</w:t>
      </w:r>
    </w:p>
    <w:p w14:paraId="308DFFDB" w14:textId="77777777" w:rsidR="007157EB" w:rsidRDefault="00000000">
      <w:pPr>
        <w:spacing w:after="160"/>
      </w:pPr>
      <w:r>
        <w:t>American Indian and Alaska Native individuals who meet WIOA Section 166 eligibility for adult employment and training services, and low-income Native youth ages 14–24 eligible under the Supplemental Youth Services Program. Services are delivered through participating SPIPA Consortium Tribes under Tribal priorities.</w:t>
      </w:r>
    </w:p>
    <w:p w14:paraId="29E15AC5" w14:textId="77777777" w:rsidR="00657C74" w:rsidRDefault="00657C74">
      <w:pPr>
        <w:pStyle w:val="Heading2"/>
      </w:pPr>
    </w:p>
    <w:p w14:paraId="308DFFDC" w14:textId="39130631" w:rsidR="007157EB" w:rsidRDefault="00000000">
      <w:pPr>
        <w:pStyle w:val="Heading2"/>
      </w:pPr>
      <w:r>
        <w:lastRenderedPageBreak/>
        <w:t>Geographic Service Area</w:t>
      </w:r>
    </w:p>
    <w:p w14:paraId="308DFFDD" w14:textId="77777777" w:rsidR="007157EB" w:rsidRDefault="00000000">
      <w:pPr>
        <w:spacing w:after="160"/>
      </w:pPr>
      <w:r>
        <w:t xml:space="preserve">The base 477 service area covers the five SPIPA Consortium Tribes: Chehalis, Nisqually, </w:t>
      </w:r>
      <w:proofErr w:type="spellStart"/>
      <w:r>
        <w:t>Shoalwater</w:t>
      </w:r>
      <w:proofErr w:type="spellEnd"/>
      <w:r>
        <w:t xml:space="preserve"> Bay, Skokomish, and Squaxin Island. The current 477 Plan also defines an expanded WIOA 166 employment and training service area for Adult and Youth funding that reaches beyond the base service area.</w:t>
      </w:r>
    </w:p>
    <w:p w14:paraId="308DFFDE" w14:textId="77777777" w:rsidR="007157EB" w:rsidRDefault="00000000">
      <w:pPr>
        <w:pStyle w:val="Heading2"/>
      </w:pPr>
      <w:r>
        <w:t>Activities</w:t>
      </w:r>
    </w:p>
    <w:p w14:paraId="308DFFDF" w14:textId="77777777" w:rsidR="007157EB" w:rsidRDefault="00000000">
      <w:pPr>
        <w:spacing w:after="160"/>
      </w:pPr>
      <w:r>
        <w:t>Employment and training, education, youth services, and related supportive services, delivered through the integrated WFD/477 model. The intent of the integrated approach, per the current 477 Plan, is to reduce duplication, expand reach, and support self-sufficiency for participating Tribal communities.</w:t>
      </w:r>
    </w:p>
    <w:p w14:paraId="308DFFE0" w14:textId="77777777" w:rsidR="007157EB" w:rsidRDefault="00000000">
      <w:pPr>
        <w:pStyle w:val="Heading2"/>
      </w:pPr>
      <w:r>
        <w:t>Participants and Outcomes</w:t>
      </w:r>
    </w:p>
    <w:p w14:paraId="308DFFE1" w14:textId="77777777" w:rsidR="007157EB" w:rsidRDefault="00000000">
      <w:pPr>
        <w:spacing w:after="160"/>
      </w:pPr>
      <w:r>
        <w:t>Participant counts and performance measures will be reported under SPIPA’s existing 477 reporting structure. WIOA 166 performance indicators (employment, credential attainment, measurable skill gains, and youth-specific outcomes) apply and are tracked through the integrated system.</w:t>
      </w:r>
    </w:p>
    <w:p w14:paraId="308DFFE2" w14:textId="77777777" w:rsidR="007157EB" w:rsidRDefault="00000000">
      <w:pPr>
        <w:pStyle w:val="Heading2"/>
      </w:pPr>
      <w:r>
        <w:t>Application Path</w:t>
      </w:r>
    </w:p>
    <w:p w14:paraId="308DFFE3" w14:textId="77777777" w:rsidR="007157EB" w:rsidRDefault="00000000">
      <w:pPr>
        <w:spacing w:after="160"/>
      </w:pPr>
      <w:r>
        <w:t>Public Law 102-477 simplified submission. The FOA allows entities funded under 102-477 to submit one SF-424 per program (Adult and Youth) with no additional application documents required. This substantially reduces the filing burden compared with the standard discretionary path, but Tribal approvals, Fiscal budget approval, Leadership Team review, and Board resolution are still required before submission.</w:t>
      </w:r>
    </w:p>
    <w:p w14:paraId="308DFFE4" w14:textId="77777777" w:rsidR="007157EB" w:rsidRDefault="00000000">
      <w:pPr>
        <w:pStyle w:val="Heading2"/>
      </w:pPr>
      <w:r>
        <w:t>Fit with Existing SPIPA Programs</w:t>
      </w:r>
    </w:p>
    <w:p w14:paraId="308DFFE5" w14:textId="77777777" w:rsidR="007157EB" w:rsidRDefault="00000000">
      <w:pPr>
        <w:spacing w:after="160"/>
      </w:pPr>
      <w:r>
        <w:t xml:space="preserve">Full alignment. The current 477 Plan already names WIOA Adult Comprehensive and Supplemental Youth as integrated components. Awards would flow into the same administrative, fiscal, and reporting structure SPIPA already operates, and would be available to support Tribal allocation requests through the 477 </w:t>
      </w:r>
      <w:proofErr w:type="gramStart"/>
      <w:r>
        <w:t>framework</w:t>
      </w:r>
      <w:proofErr w:type="gramEnd"/>
      <w:r>
        <w:t>.</w:t>
      </w:r>
    </w:p>
    <w:p w14:paraId="308DFFE6" w14:textId="77777777" w:rsidR="007157EB" w:rsidRDefault="00000000">
      <w:pPr>
        <w:pStyle w:val="Heading2"/>
      </w:pPr>
      <w:r>
        <w:t>Budget Shape</w:t>
      </w:r>
    </w:p>
    <w:p w14:paraId="308DFFE7" w14:textId="77777777" w:rsidR="007157EB" w:rsidRDefault="00000000">
      <w:pPr>
        <w:spacing w:after="160"/>
      </w:pPr>
      <w:r>
        <w:t>Planning figures from the pre-application allocation tables:</w:t>
      </w:r>
    </w:p>
    <w:p w14:paraId="308DFFE8" w14:textId="77777777" w:rsidR="007157EB" w:rsidRDefault="00000000">
      <w:pPr>
        <w:pStyle w:val="ListParagraph"/>
        <w:numPr>
          <w:ilvl w:val="0"/>
          <w:numId w:val="2"/>
        </w:numPr>
      </w:pPr>
      <w:r>
        <w:t>Adult (CSP): $622,995 anticipated</w:t>
      </w:r>
    </w:p>
    <w:p w14:paraId="308DFFE9" w14:textId="77777777" w:rsidR="007157EB" w:rsidRDefault="00000000">
      <w:pPr>
        <w:pStyle w:val="ListParagraph"/>
        <w:numPr>
          <w:ilvl w:val="0"/>
          <w:numId w:val="2"/>
        </w:numPr>
      </w:pPr>
      <w:r>
        <w:t>Youth (SYSP): $91,995 anticipated</w:t>
      </w:r>
    </w:p>
    <w:p w14:paraId="308DFFEA" w14:textId="77777777" w:rsidR="007157EB" w:rsidRDefault="00000000">
      <w:pPr>
        <w:pStyle w:val="ListParagraph"/>
        <w:numPr>
          <w:ilvl w:val="0"/>
          <w:numId w:val="2"/>
        </w:numPr>
      </w:pPr>
      <w:r>
        <w:t>Combined: $714,990</w:t>
      </w:r>
    </w:p>
    <w:p w14:paraId="308DFFEB" w14:textId="77777777" w:rsidR="007157EB" w:rsidRDefault="00000000">
      <w:pPr>
        <w:pStyle w:val="ListParagraph"/>
        <w:numPr>
          <w:ilvl w:val="0"/>
          <w:numId w:val="2"/>
        </w:numPr>
      </w:pPr>
      <w:r>
        <w:t>Pass-through to five Consortium Tribes: approximately $107,044 Adult and $15,807 Youth per Tribe (about 85.9% of each award)</w:t>
      </w:r>
    </w:p>
    <w:p w14:paraId="308DFFEC" w14:textId="77777777" w:rsidR="007157EB" w:rsidRDefault="00000000">
      <w:pPr>
        <w:pStyle w:val="ListParagraph"/>
        <w:numPr>
          <w:ilvl w:val="0"/>
          <w:numId w:val="2"/>
        </w:numPr>
      </w:pPr>
      <w:r>
        <w:t>SPIPA indirect: approximately $87,776 Adult and $12,961 Youth (about 14.1%)</w:t>
      </w:r>
    </w:p>
    <w:p w14:paraId="308DFFED" w14:textId="77777777" w:rsidR="007157EB" w:rsidRDefault="00000000">
      <w:pPr>
        <w:spacing w:after="160"/>
      </w:pPr>
      <w:r>
        <w:t>Historical SPIPA allotments for planning reference: PY 2025 $622,995 Adult / $91,995 Youth; PY 2024 $642,716 / $93,818; PY 2023 $675,776 / $98,704; PY 2022 $641,825 / $97,163. Final PY 2026 awards will be set by DOL under the formula. Per the FOA, CSP and SYSP do not require cost sharing or match.</w:t>
      </w:r>
    </w:p>
    <w:p w14:paraId="308DFFEE" w14:textId="77777777" w:rsidR="007157EB" w:rsidRDefault="00000000">
      <w:r>
        <w:rPr>
          <w:i/>
          <w:iCs/>
          <w:sz w:val="20"/>
          <w:szCs w:val="20"/>
        </w:rPr>
        <w:t>This abstract is a planning tool, not a final commitment. Dollar figures will be confirmed with Fiscal before circulation.</w:t>
      </w:r>
    </w:p>
    <w:sectPr w:rsidR="007157EB">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7306F"/>
    <w:multiLevelType w:val="hybridMultilevel"/>
    <w:tmpl w:val="B3D8EDDA"/>
    <w:lvl w:ilvl="0" w:tplc="47E0D09C">
      <w:start w:val="1"/>
      <w:numFmt w:val="bullet"/>
      <w:lvlText w:val="●"/>
      <w:lvlJc w:val="left"/>
      <w:pPr>
        <w:ind w:left="720" w:hanging="360"/>
      </w:pPr>
    </w:lvl>
    <w:lvl w:ilvl="1" w:tplc="8CF2B3E2">
      <w:start w:val="1"/>
      <w:numFmt w:val="bullet"/>
      <w:lvlText w:val="○"/>
      <w:lvlJc w:val="left"/>
      <w:pPr>
        <w:ind w:left="1440" w:hanging="360"/>
      </w:pPr>
    </w:lvl>
    <w:lvl w:ilvl="2" w:tplc="7FA8D454">
      <w:start w:val="1"/>
      <w:numFmt w:val="bullet"/>
      <w:lvlText w:val="■"/>
      <w:lvlJc w:val="left"/>
      <w:pPr>
        <w:ind w:left="2160" w:hanging="360"/>
      </w:pPr>
    </w:lvl>
    <w:lvl w:ilvl="3" w:tplc="27623138">
      <w:start w:val="1"/>
      <w:numFmt w:val="bullet"/>
      <w:lvlText w:val="●"/>
      <w:lvlJc w:val="left"/>
      <w:pPr>
        <w:ind w:left="2880" w:hanging="360"/>
      </w:pPr>
    </w:lvl>
    <w:lvl w:ilvl="4" w:tplc="A8D479FC">
      <w:start w:val="1"/>
      <w:numFmt w:val="bullet"/>
      <w:lvlText w:val="○"/>
      <w:lvlJc w:val="left"/>
      <w:pPr>
        <w:ind w:left="3600" w:hanging="360"/>
      </w:pPr>
    </w:lvl>
    <w:lvl w:ilvl="5" w:tplc="250A7CB2">
      <w:start w:val="1"/>
      <w:numFmt w:val="bullet"/>
      <w:lvlText w:val="■"/>
      <w:lvlJc w:val="left"/>
      <w:pPr>
        <w:ind w:left="4320" w:hanging="360"/>
      </w:pPr>
    </w:lvl>
    <w:lvl w:ilvl="6" w:tplc="2286E3D6">
      <w:start w:val="1"/>
      <w:numFmt w:val="bullet"/>
      <w:lvlText w:val="●"/>
      <w:lvlJc w:val="left"/>
      <w:pPr>
        <w:ind w:left="5040" w:hanging="360"/>
      </w:pPr>
    </w:lvl>
    <w:lvl w:ilvl="7" w:tplc="399EC5F8">
      <w:start w:val="1"/>
      <w:numFmt w:val="bullet"/>
      <w:lvlText w:val="●"/>
      <w:lvlJc w:val="left"/>
      <w:pPr>
        <w:ind w:left="5760" w:hanging="360"/>
      </w:pPr>
    </w:lvl>
    <w:lvl w:ilvl="8" w:tplc="60529ED0">
      <w:start w:val="1"/>
      <w:numFmt w:val="bullet"/>
      <w:lvlText w:val="●"/>
      <w:lvlJc w:val="left"/>
      <w:pPr>
        <w:ind w:left="6480" w:hanging="360"/>
      </w:pPr>
    </w:lvl>
  </w:abstractNum>
  <w:abstractNum w:abstractNumId="1" w15:restartNumberingAfterBreak="0">
    <w:nsid w:val="68234E33"/>
    <w:multiLevelType w:val="hybridMultilevel"/>
    <w:tmpl w:val="5B622830"/>
    <w:lvl w:ilvl="0" w:tplc="0D1EA88E">
      <w:start w:val="1"/>
      <w:numFmt w:val="bullet"/>
      <w:lvlText w:val="•"/>
      <w:lvlJc w:val="left"/>
      <w:pPr>
        <w:ind w:left="720" w:hanging="360"/>
      </w:pPr>
    </w:lvl>
    <w:lvl w:ilvl="1" w:tplc="CCD24182">
      <w:numFmt w:val="decimal"/>
      <w:lvlText w:val=""/>
      <w:lvlJc w:val="left"/>
    </w:lvl>
    <w:lvl w:ilvl="2" w:tplc="878C71AA">
      <w:numFmt w:val="decimal"/>
      <w:lvlText w:val=""/>
      <w:lvlJc w:val="left"/>
    </w:lvl>
    <w:lvl w:ilvl="3" w:tplc="06E4CEA6">
      <w:numFmt w:val="decimal"/>
      <w:lvlText w:val=""/>
      <w:lvlJc w:val="left"/>
    </w:lvl>
    <w:lvl w:ilvl="4" w:tplc="4476C254">
      <w:numFmt w:val="decimal"/>
      <w:lvlText w:val=""/>
      <w:lvlJc w:val="left"/>
    </w:lvl>
    <w:lvl w:ilvl="5" w:tplc="A5AE81AA">
      <w:numFmt w:val="decimal"/>
      <w:lvlText w:val=""/>
      <w:lvlJc w:val="left"/>
    </w:lvl>
    <w:lvl w:ilvl="6" w:tplc="E0FCE60A">
      <w:numFmt w:val="decimal"/>
      <w:lvlText w:val=""/>
      <w:lvlJc w:val="left"/>
    </w:lvl>
    <w:lvl w:ilvl="7" w:tplc="C5280DCA">
      <w:numFmt w:val="decimal"/>
      <w:lvlText w:val=""/>
      <w:lvlJc w:val="left"/>
    </w:lvl>
    <w:lvl w:ilvl="8" w:tplc="66764EB4">
      <w:numFmt w:val="decimal"/>
      <w:lvlText w:val=""/>
      <w:lvlJc w:val="left"/>
    </w:lvl>
  </w:abstractNum>
  <w:num w:numId="1" w16cid:durableId="1921138452">
    <w:abstractNumId w:val="0"/>
    <w:lvlOverride w:ilvl="0">
      <w:startOverride w:val="1"/>
    </w:lvlOverride>
  </w:num>
  <w:num w:numId="2" w16cid:durableId="152635789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7EB"/>
    <w:rsid w:val="00657C74"/>
    <w:rsid w:val="007157EB"/>
    <w:rsid w:val="00E65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DFFB9"/>
  <w15:docId w15:val="{E1F9AB02-B877-4DB5-AB14-8D1CA411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60"/>
      <w:outlineLvl w:val="0"/>
    </w:pPr>
    <w:rPr>
      <w:b/>
      <w:bCs/>
      <w:sz w:val="28"/>
      <w:szCs w:val="28"/>
    </w:rPr>
  </w:style>
  <w:style w:type="paragraph" w:styleId="Heading2">
    <w:name w:val="heading 2"/>
    <w:uiPriority w:val="9"/>
    <w:unhideWhenUsed/>
    <w:qFormat/>
    <w:pPr>
      <w:spacing w:before="240" w:after="12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06613b-1ce7-4e5a-b7e6-9baa5288ae30" xsi:nil="true"/>
    <lcf76f155ced4ddcb4097134ff3c332f xmlns="8b189914-738b-4e44-b188-18f103c56ee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02852B5C37664CB94427EC625BF512" ma:contentTypeVersion="14" ma:contentTypeDescription="Create a new document." ma:contentTypeScope="" ma:versionID="d469a2765f1c08fc1a94f676c7fa11d0">
  <xsd:schema xmlns:xsd="http://www.w3.org/2001/XMLSchema" xmlns:xs="http://www.w3.org/2001/XMLSchema" xmlns:p="http://schemas.microsoft.com/office/2006/metadata/properties" xmlns:ns2="8b189914-738b-4e44-b188-18f103c56ee1" xmlns:ns3="7b06613b-1ce7-4e5a-b7e6-9baa5288ae30" targetNamespace="http://schemas.microsoft.com/office/2006/metadata/properties" ma:root="true" ma:fieldsID="627b1977a9f9aa1441d15f82bf735d7c" ns2:_="" ns3:_="">
    <xsd:import namespace="8b189914-738b-4e44-b188-18f103c56ee1"/>
    <xsd:import namespace="7b06613b-1ce7-4e5a-b7e6-9baa5288ae3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89914-738b-4e44-b188-18f103c56ee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04372a8-c232-43b9-ae97-32898c634da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06613b-1ce7-4e5a-b7e6-9baa5288ae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2b92a7b-e9b9-465c-a875-3d708a4e9afa}" ma:internalName="TaxCatchAll" ma:showField="CatchAllData" ma:web="7b06613b-1ce7-4e5a-b7e6-9baa5288ae3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082D5B-0F89-4E60-8892-82089DD75183}">
  <ds:schemaRefs>
    <ds:schemaRef ds:uri="http://schemas.microsoft.com/office/2006/metadata/properties"/>
    <ds:schemaRef ds:uri="http://schemas.microsoft.com/office/infopath/2007/PartnerControls"/>
    <ds:schemaRef ds:uri="7b06613b-1ce7-4e5a-b7e6-9baa5288ae30"/>
    <ds:schemaRef ds:uri="8b189914-738b-4e44-b188-18f103c56ee1"/>
  </ds:schemaRefs>
</ds:datastoreItem>
</file>

<file path=customXml/itemProps2.xml><?xml version="1.0" encoding="utf-8"?>
<ds:datastoreItem xmlns:ds="http://schemas.openxmlformats.org/officeDocument/2006/customXml" ds:itemID="{10FCD505-EF2F-4AD3-BB60-1F9CA75FB516}">
  <ds:schemaRefs>
    <ds:schemaRef ds:uri="http://schemas.microsoft.com/sharepoint/v3/contenttype/forms"/>
  </ds:schemaRefs>
</ds:datastoreItem>
</file>

<file path=customXml/itemProps3.xml><?xml version="1.0" encoding="utf-8"?>
<ds:datastoreItem xmlns:ds="http://schemas.openxmlformats.org/officeDocument/2006/customXml" ds:itemID="{DA4F8584-EAA3-4F8F-AD18-5B729B249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89914-738b-4e44-b188-18f103c56ee1"/>
    <ds:schemaRef ds:uri="7b06613b-1ce7-4e5a-b7e6-9baa5288a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3863</Characters>
  <Application>Microsoft Office Word</Application>
  <DocSecurity>0</DocSecurity>
  <Lines>32</Lines>
  <Paragraphs>9</Paragraphs>
  <ScaleCrop>false</ScaleCrop>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Joseph Reyes</cp:lastModifiedBy>
  <cp:revision>2</cp:revision>
  <dcterms:created xsi:type="dcterms:W3CDTF">2026-04-23T21:14:00Z</dcterms:created>
  <dcterms:modified xsi:type="dcterms:W3CDTF">2026-04-23T21:23:00Z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0x0101009102852B5C37664CB94427EC625BF512</vt:lpwstr>
  </property>
  <property fmtid="{D5CDD505-2E9C-101B-9397-08002B2CF9AE}" pid="3" name="MediaServiceImageTags">
    <vt:lpwstr/>
  </property>
</Properties>
</file>