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8D15F" w14:textId="77777777" w:rsidR="00CA5469" w:rsidRDefault="00000000">
      <w:pPr>
        <w:spacing w:after="120"/>
        <w:jc w:val="center"/>
      </w:pPr>
      <w:r>
        <w:rPr>
          <w:b/>
          <w:bCs/>
          <w:sz w:val="32"/>
          <w:szCs w:val="32"/>
        </w:rPr>
        <w:t>Executive Summary</w:t>
      </w:r>
    </w:p>
    <w:p w14:paraId="30A8D160" w14:textId="77777777" w:rsidR="00CA5469" w:rsidRDefault="00000000">
      <w:pPr>
        <w:spacing w:after="240"/>
        <w:jc w:val="center"/>
      </w:pPr>
      <w:r>
        <w:rPr>
          <w:i/>
          <w:iCs/>
          <w:sz w:val="24"/>
          <w:szCs w:val="24"/>
        </w:rPr>
        <w:t>PY 2026 WIOA Section 166 Adult and Youth Employment and Training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CA5469" w14:paraId="30A8D163"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A8D161" w14:textId="77777777" w:rsidR="00CA5469" w:rsidRDefault="00000000">
            <w:r>
              <w:rPr>
                <w:b/>
                <w:bCs/>
              </w:rPr>
              <w:t>Program</w:t>
            </w:r>
          </w:p>
        </w:tc>
        <w:tc>
          <w:tcPr>
            <w:tcW w:w="69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A8D162" w14:textId="77777777" w:rsidR="00CA5469" w:rsidRDefault="00000000">
            <w:r>
              <w:t>PY 2026 WIOA Indian and Native American Programs — Adult (CSP) and Supplemental Youth (SYSP)</w:t>
            </w:r>
          </w:p>
        </w:tc>
      </w:tr>
      <w:tr w:rsidR="00CA5469" w14:paraId="30A8D166"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A8D164" w14:textId="77777777" w:rsidR="00CA5469" w:rsidRDefault="00000000">
            <w:r>
              <w:rPr>
                <w:b/>
                <w:bCs/>
              </w:rPr>
              <w:t>Funding Agency</w:t>
            </w:r>
          </w:p>
        </w:tc>
        <w:tc>
          <w:tcPr>
            <w:tcW w:w="69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A8D165" w14:textId="77777777" w:rsidR="00CA5469" w:rsidRDefault="00000000">
            <w:r>
              <w:t>U.S. Department of Labor, Employment and Training Administration</w:t>
            </w:r>
          </w:p>
        </w:tc>
      </w:tr>
      <w:tr w:rsidR="00CA5469" w14:paraId="30A8D169"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A8D167" w14:textId="77777777" w:rsidR="00CA5469" w:rsidRDefault="00000000">
            <w:r>
              <w:rPr>
                <w:b/>
                <w:bCs/>
              </w:rPr>
              <w:t>Period of Performance</w:t>
            </w:r>
          </w:p>
        </w:tc>
        <w:tc>
          <w:tcPr>
            <w:tcW w:w="69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A8D168" w14:textId="77777777" w:rsidR="00CA5469" w:rsidRDefault="00000000">
            <w:r>
              <w:t>36 months per annual award; potential annual awards PY 2026 through PY 2029</w:t>
            </w:r>
          </w:p>
        </w:tc>
      </w:tr>
      <w:tr w:rsidR="00CA5469" w14:paraId="30A8D16C" w14:textId="77777777">
        <w:tblPrEx>
          <w:tblCellMar>
            <w:top w:w="0" w:type="dxa"/>
            <w:bottom w:w="0" w:type="dxa"/>
          </w:tblCellMar>
        </w:tblPrEx>
        <w:tc>
          <w:tcPr>
            <w:tcW w:w="2400" w:type="dxa"/>
            <w:tcBorders>
              <w:top w:val="single" w:sz="4" w:space="0" w:color="BFBFBF"/>
              <w:left w:val="single" w:sz="4" w:space="0" w:color="BFBFBF"/>
              <w:bottom w:val="single" w:sz="4" w:space="0" w:color="BFBFBF"/>
              <w:right w:val="single" w:sz="4" w:space="0" w:color="BFBFBF"/>
            </w:tcBorders>
            <w:shd w:val="clear" w:color="auto" w:fill="E7EEF5"/>
            <w:tcMar>
              <w:top w:w="100" w:type="dxa"/>
              <w:left w:w="140" w:type="dxa"/>
              <w:bottom w:w="100" w:type="dxa"/>
              <w:right w:w="140" w:type="dxa"/>
            </w:tcMar>
          </w:tcPr>
          <w:p w14:paraId="30A8D16A" w14:textId="77777777" w:rsidR="00CA5469" w:rsidRDefault="00000000">
            <w:r>
              <w:rPr>
                <w:b/>
                <w:bCs/>
              </w:rPr>
              <w:t>Applicant</w:t>
            </w:r>
          </w:p>
        </w:tc>
        <w:tc>
          <w:tcPr>
            <w:tcW w:w="6960" w:type="dxa"/>
            <w:tcBorders>
              <w:top w:val="single" w:sz="4" w:space="0" w:color="BFBFBF"/>
              <w:left w:val="single" w:sz="4" w:space="0" w:color="BFBFBF"/>
              <w:bottom w:val="single" w:sz="4" w:space="0" w:color="BFBFBF"/>
              <w:right w:val="single" w:sz="4" w:space="0" w:color="BFBFBF"/>
            </w:tcBorders>
            <w:tcMar>
              <w:top w:w="100" w:type="dxa"/>
              <w:left w:w="140" w:type="dxa"/>
              <w:bottom w:w="100" w:type="dxa"/>
              <w:right w:w="140" w:type="dxa"/>
            </w:tcMar>
          </w:tcPr>
          <w:p w14:paraId="30A8D16B" w14:textId="77777777" w:rsidR="00CA5469" w:rsidRDefault="00000000">
            <w:r>
              <w:t>South Puget Intertribal Planning Agency (SPIPA)</w:t>
            </w:r>
          </w:p>
        </w:tc>
      </w:tr>
    </w:tbl>
    <w:p w14:paraId="30A8D16D" w14:textId="77777777" w:rsidR="00CA5469" w:rsidRDefault="00CA5469">
      <w:pPr>
        <w:spacing w:after="160"/>
      </w:pPr>
    </w:p>
    <w:p w14:paraId="30A8D16E" w14:textId="77777777" w:rsidR="00CA5469" w:rsidRDefault="00000000">
      <w:pPr>
        <w:pStyle w:val="Heading2"/>
      </w:pPr>
      <w:r>
        <w:t>Recommendation</w:t>
      </w:r>
    </w:p>
    <w:p w14:paraId="30A8D16F" w14:textId="77777777" w:rsidR="00CA5469" w:rsidRDefault="00000000">
      <w:pPr>
        <w:spacing w:after="160"/>
      </w:pPr>
      <w:r>
        <w:t>SPIPA should apply for both the Adult and Youth WIOA Section 166 opportunities for PY 2026 and, if awarded, integrate the funding into SPIPA’s existing 477 Workforce Development Program. Planning figures based on the pre-application allocation tables are $622,995 Adult and $91,995 Youth, for a combined $714,990. Final amounts will be set by DOL.</w:t>
      </w:r>
    </w:p>
    <w:p w14:paraId="30A8D170" w14:textId="77777777" w:rsidR="00CA5469" w:rsidRDefault="00000000">
      <w:pPr>
        <w:pStyle w:val="Heading2"/>
      </w:pPr>
      <w:r>
        <w:t>Why this matters to Tribes</w:t>
      </w:r>
    </w:p>
    <w:p w14:paraId="30A8D171" w14:textId="77777777" w:rsidR="00CA5469" w:rsidRDefault="00000000">
      <w:pPr>
        <w:spacing w:after="160"/>
      </w:pPr>
      <w:r>
        <w:t xml:space="preserve">This preserves an established employment-and-training funding stream and keeps it available for Tribal allocation requests through the 477 </w:t>
      </w:r>
      <w:proofErr w:type="gramStart"/>
      <w:r>
        <w:t>framework</w:t>
      </w:r>
      <w:proofErr w:type="gramEnd"/>
      <w:r>
        <w:t>. The current 477 Plan describes SPIPA’s role as supporting Consortium Tribes in administering services according to Tribal priorities and participant needs, not directing Tribal decisions. Tribes drive participation; SPIPA carries the process.</w:t>
      </w:r>
    </w:p>
    <w:p w14:paraId="30A8D172" w14:textId="77777777" w:rsidR="00CA5469" w:rsidRDefault="00000000">
      <w:pPr>
        <w:pStyle w:val="Heading2"/>
      </w:pPr>
      <w:r>
        <w:t>Funding picture</w:t>
      </w:r>
    </w:p>
    <w:p w14:paraId="30A8D173" w14:textId="77777777" w:rsidR="00CA5469" w:rsidRDefault="00000000">
      <w:pPr>
        <w:spacing w:after="160"/>
      </w:pPr>
      <w:r>
        <w:t>Planning reference only — not guaranteed award amounts:</w:t>
      </w:r>
    </w:p>
    <w:p w14:paraId="30A8D174" w14:textId="77777777" w:rsidR="00CA5469" w:rsidRDefault="00000000">
      <w:pPr>
        <w:pStyle w:val="ListParagraph"/>
        <w:numPr>
          <w:ilvl w:val="0"/>
          <w:numId w:val="2"/>
        </w:numPr>
      </w:pPr>
      <w:r>
        <w:t>PY 2026 anticipated (pre-application): $622,995 Adult / $91,995 Youth</w:t>
      </w:r>
    </w:p>
    <w:p w14:paraId="30A8D175" w14:textId="77777777" w:rsidR="00CA5469" w:rsidRDefault="00000000">
      <w:pPr>
        <w:pStyle w:val="ListParagraph"/>
        <w:numPr>
          <w:ilvl w:val="0"/>
          <w:numId w:val="2"/>
        </w:numPr>
      </w:pPr>
      <w:r>
        <w:t>PY 2025: $622,995 Adult / $91,995 Youth</w:t>
      </w:r>
    </w:p>
    <w:p w14:paraId="30A8D176" w14:textId="77777777" w:rsidR="00CA5469" w:rsidRDefault="00000000">
      <w:pPr>
        <w:pStyle w:val="ListParagraph"/>
        <w:numPr>
          <w:ilvl w:val="0"/>
          <w:numId w:val="2"/>
        </w:numPr>
      </w:pPr>
      <w:r>
        <w:t>PY 2024: $642,716 Adult / $93,818 Youth</w:t>
      </w:r>
    </w:p>
    <w:p w14:paraId="30A8D177" w14:textId="77777777" w:rsidR="00CA5469" w:rsidRDefault="00000000">
      <w:pPr>
        <w:pStyle w:val="ListParagraph"/>
        <w:numPr>
          <w:ilvl w:val="0"/>
          <w:numId w:val="2"/>
        </w:numPr>
      </w:pPr>
      <w:r>
        <w:t>PY 2023: $675,776 Adult / $98,704 Youth</w:t>
      </w:r>
    </w:p>
    <w:p w14:paraId="30A8D178" w14:textId="77777777" w:rsidR="00CA5469" w:rsidRDefault="00000000">
      <w:pPr>
        <w:pStyle w:val="ListParagraph"/>
        <w:numPr>
          <w:ilvl w:val="0"/>
          <w:numId w:val="2"/>
        </w:numPr>
      </w:pPr>
      <w:r>
        <w:t>PY 2022: $641,825 Adult / $97,163 Youth</w:t>
      </w:r>
    </w:p>
    <w:p w14:paraId="30A8D179" w14:textId="77777777" w:rsidR="00CA5469" w:rsidRDefault="00000000">
      <w:pPr>
        <w:spacing w:after="160"/>
      </w:pPr>
      <w:r>
        <w:t>Pre-application planning distributes roughly 85.9% as pass-through to the five Consortium Tribes (about $107,044 Adult and $15,807 Youth each) and about 14.1% as SPIPA indirect. No match or cost share is required.</w:t>
      </w:r>
    </w:p>
    <w:p w14:paraId="30A8D17A" w14:textId="77777777" w:rsidR="00CA5469" w:rsidRDefault="00000000">
      <w:pPr>
        <w:pStyle w:val="Heading2"/>
      </w:pPr>
      <w:r>
        <w:t>Why SPIPA is positioned to do this</w:t>
      </w:r>
    </w:p>
    <w:p w14:paraId="30A8D17B" w14:textId="77777777" w:rsidR="00CA5469" w:rsidRDefault="00000000">
      <w:pPr>
        <w:spacing w:after="160"/>
      </w:pPr>
      <w:r>
        <w:t>SPIPA is not proposing a new model. The current 477 Plan already integrates WIOA Adult Comprehensive and Supplemental Youth, defines both a base 477 service area and an expanded WIOA 166 service area, and contains the federal reporting and fiscal structure required to administer these funds.</w:t>
      </w:r>
    </w:p>
    <w:p w14:paraId="726AC35C" w14:textId="77777777" w:rsidR="00D7777F" w:rsidRDefault="00D7777F">
      <w:pPr>
        <w:pStyle w:val="Heading2"/>
      </w:pPr>
    </w:p>
    <w:p w14:paraId="10B9C04F" w14:textId="77777777" w:rsidR="00D7777F" w:rsidRDefault="00D7777F">
      <w:pPr>
        <w:pStyle w:val="Heading2"/>
      </w:pPr>
    </w:p>
    <w:p w14:paraId="30A8D17C" w14:textId="04D594CA" w:rsidR="00CA5469" w:rsidRDefault="00000000">
      <w:pPr>
        <w:pStyle w:val="Heading2"/>
      </w:pPr>
      <w:r>
        <w:lastRenderedPageBreak/>
        <w:t>Application lift</w:t>
      </w:r>
    </w:p>
    <w:p w14:paraId="30A8D17D" w14:textId="77777777" w:rsidR="00CA5469" w:rsidRDefault="00000000">
      <w:pPr>
        <w:spacing w:after="160"/>
      </w:pPr>
      <w:r>
        <w:t>This is a simplified Public Law 102-477 submission. Under the FOA, 102-477 entities submit one SF-424 per program (Adult and Youth) with no additional application documents required. The filing burden is light; the leadership decision is not. Tribal consultation, requested resolutions, Fiscal approval, Leadership Team review, and Board resolution are still required before submission.</w:t>
      </w:r>
    </w:p>
    <w:p w14:paraId="30A8D17E" w14:textId="77777777" w:rsidR="00CA5469" w:rsidRDefault="00000000">
      <w:pPr>
        <w:pStyle w:val="Heading2"/>
      </w:pPr>
      <w:r>
        <w:t>Value beyond one year</w:t>
      </w:r>
    </w:p>
    <w:p w14:paraId="30A8D17F" w14:textId="77777777" w:rsidR="00CA5469" w:rsidRDefault="00000000">
      <w:pPr>
        <w:spacing w:after="160"/>
      </w:pPr>
      <w:r>
        <w:t xml:space="preserve">Selection in PY 2026 can </w:t>
      </w:r>
      <w:proofErr w:type="gramStart"/>
      <w:r>
        <w:t>carry</w:t>
      </w:r>
      <w:proofErr w:type="gramEnd"/>
      <w:r>
        <w:t xml:space="preserve"> forward. Recipients may also receive annual awards for PY 2027, PY 2028, and PY 2029, each with its own grant number and 36-month period of performance. The decision is about a continuing funding stream, not a one-year award.</w:t>
      </w:r>
    </w:p>
    <w:p w14:paraId="30A8D180" w14:textId="77777777" w:rsidR="00CA5469" w:rsidRDefault="00000000">
      <w:pPr>
        <w:pStyle w:val="Heading2"/>
      </w:pPr>
      <w:r>
        <w:t>What leadership needs to decide</w:t>
      </w:r>
    </w:p>
    <w:p w14:paraId="30A8D181" w14:textId="77777777" w:rsidR="00CA5469" w:rsidRDefault="00000000">
      <w:pPr>
        <w:pStyle w:val="ListParagraph"/>
        <w:numPr>
          <w:ilvl w:val="0"/>
          <w:numId w:val="2"/>
        </w:numPr>
      </w:pPr>
      <w:r>
        <w:t>Consultation with all Consortium Tribes</w:t>
      </w:r>
    </w:p>
    <w:p w14:paraId="30A8D182" w14:textId="77777777" w:rsidR="00CA5469" w:rsidRDefault="00000000">
      <w:pPr>
        <w:pStyle w:val="ListParagraph"/>
        <w:numPr>
          <w:ilvl w:val="0"/>
          <w:numId w:val="2"/>
        </w:numPr>
      </w:pPr>
      <w:r>
        <w:t>Requested resolutions from participating Tribes</w:t>
      </w:r>
    </w:p>
    <w:p w14:paraId="30A8D183" w14:textId="77777777" w:rsidR="00CA5469" w:rsidRDefault="00000000">
      <w:pPr>
        <w:pStyle w:val="ListParagraph"/>
        <w:numPr>
          <w:ilvl w:val="0"/>
          <w:numId w:val="2"/>
        </w:numPr>
      </w:pPr>
      <w:r>
        <w:t>Honoring any no-compete request</w:t>
      </w:r>
    </w:p>
    <w:p w14:paraId="30A8D184" w14:textId="77777777" w:rsidR="00CA5469" w:rsidRDefault="00000000">
      <w:pPr>
        <w:pStyle w:val="ListParagraph"/>
        <w:numPr>
          <w:ilvl w:val="0"/>
          <w:numId w:val="2"/>
        </w:numPr>
      </w:pPr>
      <w:r>
        <w:t>Fiscal written budget approval</w:t>
      </w:r>
    </w:p>
    <w:p w14:paraId="30A8D185" w14:textId="77777777" w:rsidR="00CA5469" w:rsidRDefault="00000000">
      <w:pPr>
        <w:pStyle w:val="ListParagraph"/>
        <w:numPr>
          <w:ilvl w:val="0"/>
          <w:numId w:val="2"/>
        </w:numPr>
      </w:pPr>
      <w:r>
        <w:t>Leadership Team review</w:t>
      </w:r>
    </w:p>
    <w:p w14:paraId="30A8D186" w14:textId="77777777" w:rsidR="00CA5469" w:rsidRDefault="00000000">
      <w:pPr>
        <w:pStyle w:val="ListParagraph"/>
        <w:numPr>
          <w:ilvl w:val="0"/>
          <w:numId w:val="2"/>
        </w:numPr>
      </w:pPr>
      <w:r>
        <w:t>Board resolution before submission</w:t>
      </w:r>
    </w:p>
    <w:p w14:paraId="30A8D187" w14:textId="77777777" w:rsidR="00CA5469" w:rsidRDefault="00000000">
      <w:pPr>
        <w:pStyle w:val="Heading2"/>
      </w:pPr>
      <w:r>
        <w:t>Bottom line</w:t>
      </w:r>
    </w:p>
    <w:p w14:paraId="30A8D188" w14:textId="77777777" w:rsidR="00CA5469" w:rsidRDefault="00000000">
      <w:pPr>
        <w:spacing w:after="160"/>
      </w:pPr>
      <w:r>
        <w:t>Apply for both Adult and Youth, integrate any award into the existing 477 structure, and use the funding to respond to Tribal allocation requests through the system SPIPA already operates.</w:t>
      </w:r>
    </w:p>
    <w:sectPr w:rsidR="00CA5469">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F7057"/>
    <w:multiLevelType w:val="hybridMultilevel"/>
    <w:tmpl w:val="07DCE4EC"/>
    <w:lvl w:ilvl="0" w:tplc="D1B80B5A">
      <w:start w:val="1"/>
      <w:numFmt w:val="bullet"/>
      <w:lvlText w:val="•"/>
      <w:lvlJc w:val="left"/>
      <w:pPr>
        <w:ind w:left="720" w:hanging="360"/>
      </w:pPr>
    </w:lvl>
    <w:lvl w:ilvl="1" w:tplc="BD76C902">
      <w:numFmt w:val="decimal"/>
      <w:lvlText w:val=""/>
      <w:lvlJc w:val="left"/>
    </w:lvl>
    <w:lvl w:ilvl="2" w:tplc="D47065F8">
      <w:numFmt w:val="decimal"/>
      <w:lvlText w:val=""/>
      <w:lvlJc w:val="left"/>
    </w:lvl>
    <w:lvl w:ilvl="3" w:tplc="42CE343E">
      <w:numFmt w:val="decimal"/>
      <w:lvlText w:val=""/>
      <w:lvlJc w:val="left"/>
    </w:lvl>
    <w:lvl w:ilvl="4" w:tplc="A42C9FE4">
      <w:numFmt w:val="decimal"/>
      <w:lvlText w:val=""/>
      <w:lvlJc w:val="left"/>
    </w:lvl>
    <w:lvl w:ilvl="5" w:tplc="65420804">
      <w:numFmt w:val="decimal"/>
      <w:lvlText w:val=""/>
      <w:lvlJc w:val="left"/>
    </w:lvl>
    <w:lvl w:ilvl="6" w:tplc="BEC65644">
      <w:numFmt w:val="decimal"/>
      <w:lvlText w:val=""/>
      <w:lvlJc w:val="left"/>
    </w:lvl>
    <w:lvl w:ilvl="7" w:tplc="D99CC28A">
      <w:numFmt w:val="decimal"/>
      <w:lvlText w:val=""/>
      <w:lvlJc w:val="left"/>
    </w:lvl>
    <w:lvl w:ilvl="8" w:tplc="9A5AD356">
      <w:numFmt w:val="decimal"/>
      <w:lvlText w:val=""/>
      <w:lvlJc w:val="left"/>
    </w:lvl>
  </w:abstractNum>
  <w:abstractNum w:abstractNumId="1" w15:restartNumberingAfterBreak="0">
    <w:nsid w:val="57743B87"/>
    <w:multiLevelType w:val="hybridMultilevel"/>
    <w:tmpl w:val="C7E8CB4E"/>
    <w:lvl w:ilvl="0" w:tplc="045A2DC6">
      <w:start w:val="1"/>
      <w:numFmt w:val="bullet"/>
      <w:lvlText w:val="●"/>
      <w:lvlJc w:val="left"/>
      <w:pPr>
        <w:ind w:left="720" w:hanging="360"/>
      </w:pPr>
    </w:lvl>
    <w:lvl w:ilvl="1" w:tplc="8E8E50AE">
      <w:start w:val="1"/>
      <w:numFmt w:val="bullet"/>
      <w:lvlText w:val="○"/>
      <w:lvlJc w:val="left"/>
      <w:pPr>
        <w:ind w:left="1440" w:hanging="360"/>
      </w:pPr>
    </w:lvl>
    <w:lvl w:ilvl="2" w:tplc="B67EA2E6">
      <w:start w:val="1"/>
      <w:numFmt w:val="bullet"/>
      <w:lvlText w:val="■"/>
      <w:lvlJc w:val="left"/>
      <w:pPr>
        <w:ind w:left="2160" w:hanging="360"/>
      </w:pPr>
    </w:lvl>
    <w:lvl w:ilvl="3" w:tplc="01927C3E">
      <w:start w:val="1"/>
      <w:numFmt w:val="bullet"/>
      <w:lvlText w:val="●"/>
      <w:lvlJc w:val="left"/>
      <w:pPr>
        <w:ind w:left="2880" w:hanging="360"/>
      </w:pPr>
    </w:lvl>
    <w:lvl w:ilvl="4" w:tplc="F7EA7C40">
      <w:start w:val="1"/>
      <w:numFmt w:val="bullet"/>
      <w:lvlText w:val="○"/>
      <w:lvlJc w:val="left"/>
      <w:pPr>
        <w:ind w:left="3600" w:hanging="360"/>
      </w:pPr>
    </w:lvl>
    <w:lvl w:ilvl="5" w:tplc="0E644EDE">
      <w:start w:val="1"/>
      <w:numFmt w:val="bullet"/>
      <w:lvlText w:val="■"/>
      <w:lvlJc w:val="left"/>
      <w:pPr>
        <w:ind w:left="4320" w:hanging="360"/>
      </w:pPr>
    </w:lvl>
    <w:lvl w:ilvl="6" w:tplc="055C1086">
      <w:start w:val="1"/>
      <w:numFmt w:val="bullet"/>
      <w:lvlText w:val="●"/>
      <w:lvlJc w:val="left"/>
      <w:pPr>
        <w:ind w:left="5040" w:hanging="360"/>
      </w:pPr>
    </w:lvl>
    <w:lvl w:ilvl="7" w:tplc="2034C848">
      <w:start w:val="1"/>
      <w:numFmt w:val="bullet"/>
      <w:lvlText w:val="●"/>
      <w:lvlJc w:val="left"/>
      <w:pPr>
        <w:ind w:left="5760" w:hanging="360"/>
      </w:pPr>
    </w:lvl>
    <w:lvl w:ilvl="8" w:tplc="19A64BCC">
      <w:start w:val="1"/>
      <w:numFmt w:val="bullet"/>
      <w:lvlText w:val="●"/>
      <w:lvlJc w:val="left"/>
      <w:pPr>
        <w:ind w:left="6480" w:hanging="360"/>
      </w:pPr>
    </w:lvl>
  </w:abstractNum>
  <w:num w:numId="1" w16cid:durableId="1508708284">
    <w:abstractNumId w:val="1"/>
    <w:lvlOverride w:ilvl="0">
      <w:startOverride w:val="1"/>
    </w:lvlOverride>
  </w:num>
  <w:num w:numId="2" w16cid:durableId="16579510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69"/>
    <w:rsid w:val="006A639B"/>
    <w:rsid w:val="00CA5469"/>
    <w:rsid w:val="00D7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D15F"/>
  <w15:docId w15:val="{AA1A8CC4-1A17-4B37-9A52-76295886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06613b-1ce7-4e5a-b7e6-9baa5288ae30" xsi:nil="true"/>
    <lcf76f155ced4ddcb4097134ff3c332f xmlns="8b189914-738b-4e44-b188-18f103c56ee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02852B5C37664CB94427EC625BF512" ma:contentTypeVersion="14" ma:contentTypeDescription="Create a new document." ma:contentTypeScope="" ma:versionID="d469a2765f1c08fc1a94f676c7fa11d0">
  <xsd:schema xmlns:xsd="http://www.w3.org/2001/XMLSchema" xmlns:xs="http://www.w3.org/2001/XMLSchema" xmlns:p="http://schemas.microsoft.com/office/2006/metadata/properties" xmlns:ns2="8b189914-738b-4e44-b188-18f103c56ee1" xmlns:ns3="7b06613b-1ce7-4e5a-b7e6-9baa5288ae30" targetNamespace="http://schemas.microsoft.com/office/2006/metadata/properties" ma:root="true" ma:fieldsID="627b1977a9f9aa1441d15f82bf735d7c" ns2:_="" ns3:_="">
    <xsd:import namespace="8b189914-738b-4e44-b188-18f103c56ee1"/>
    <xsd:import namespace="7b06613b-1ce7-4e5a-b7e6-9baa5288ae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89914-738b-4e44-b188-18f103c56e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04372a8-c232-43b9-ae97-32898c634da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6613b-1ce7-4e5a-b7e6-9baa5288ae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b92a7b-e9b9-465c-a875-3d708a4e9afa}" ma:internalName="TaxCatchAll" ma:showField="CatchAllData" ma:web="7b06613b-1ce7-4e5a-b7e6-9baa5288ae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039F63-D51C-4A2B-872F-79E16780139B}">
  <ds:schemaRefs>
    <ds:schemaRef ds:uri="http://schemas.microsoft.com/office/2006/metadata/properties"/>
    <ds:schemaRef ds:uri="http://schemas.microsoft.com/office/infopath/2007/PartnerControls"/>
    <ds:schemaRef ds:uri="7b06613b-1ce7-4e5a-b7e6-9baa5288ae30"/>
    <ds:schemaRef ds:uri="8b189914-738b-4e44-b188-18f103c56ee1"/>
  </ds:schemaRefs>
</ds:datastoreItem>
</file>

<file path=customXml/itemProps2.xml><?xml version="1.0" encoding="utf-8"?>
<ds:datastoreItem xmlns:ds="http://schemas.openxmlformats.org/officeDocument/2006/customXml" ds:itemID="{178F25C8-4316-433C-96BF-7E9A46FA9941}">
  <ds:schemaRefs>
    <ds:schemaRef ds:uri="http://schemas.microsoft.com/sharepoint/v3/contenttype/forms"/>
  </ds:schemaRefs>
</ds:datastoreItem>
</file>

<file path=customXml/itemProps3.xml><?xml version="1.0" encoding="utf-8"?>
<ds:datastoreItem xmlns:ds="http://schemas.openxmlformats.org/officeDocument/2006/customXml" ds:itemID="{AB75AA5D-28DA-4671-8727-8546B5303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89914-738b-4e44-b188-18f103c56ee1"/>
    <ds:schemaRef ds:uri="7b06613b-1ce7-4e5a-b7e6-9baa5288a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Reyes</cp:lastModifiedBy>
  <cp:revision>2</cp:revision>
  <dcterms:created xsi:type="dcterms:W3CDTF">2026-04-23T21:14:00Z</dcterms:created>
  <dcterms:modified xsi:type="dcterms:W3CDTF">2026-04-23T21:24:00Z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0x0101009102852B5C37664CB94427EC625BF512</vt:lpwstr>
  </property>
  <property fmtid="{D5CDD505-2E9C-101B-9397-08002B2CF9AE}" pid="3" name="MediaServiceImageTags">
    <vt:lpwstr/>
  </property>
</Properties>
</file>