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9F1D7" w14:textId="77777777" w:rsidR="00F15C42" w:rsidRDefault="00711997">
      <w:pPr>
        <w:pStyle w:val="Heading1"/>
        <w:spacing w:after="140"/>
      </w:pPr>
      <w:r>
        <w:t>SPIPA CSBG Program - Project Description</w:t>
      </w:r>
    </w:p>
    <w:p w14:paraId="5F49F1D8" w14:textId="77777777" w:rsidR="00F15C42" w:rsidRDefault="00711997">
      <w:pPr>
        <w:spacing w:after="140"/>
      </w:pPr>
      <w:r>
        <w:rPr>
          <w:i/>
          <w:iCs/>
        </w:rPr>
        <w:t>Reusable narrative describing how SPIPA and the participating Tribes deliver the Community Services Block Grant (CSBG) program. Intended for use in Memoranda of Agreement, internal documentation, and program descriptions across plan cycles.</w:t>
      </w:r>
    </w:p>
    <w:p w14:paraId="5F49F1D9" w14:textId="77777777" w:rsidR="00F15C42" w:rsidRDefault="00F15C42">
      <w:pPr>
        <w:pBdr>
          <w:bottom w:val="single" w:sz="6" w:space="1" w:color="2E75B6"/>
        </w:pBdr>
        <w:spacing w:after="200"/>
      </w:pPr>
    </w:p>
    <w:p w14:paraId="5F49F1DA" w14:textId="77777777" w:rsidR="00F15C42" w:rsidRDefault="00711997">
      <w:pPr>
        <w:pStyle w:val="Heading2"/>
        <w:spacing w:after="140"/>
      </w:pPr>
      <w:r>
        <w:t>Overview</w:t>
      </w:r>
    </w:p>
    <w:p w14:paraId="5F49F1DB" w14:textId="77777777" w:rsidR="00F15C42" w:rsidRDefault="00711997">
      <w:pPr>
        <w:spacing w:after="140"/>
      </w:pPr>
      <w:r>
        <w:t xml:space="preserve">The South Puget Intertribal Planning Agency (SPIPA) is a 501(c)(3) intertribal consortium formed in 1976 to provide planning, technical assistance, and program management for five federally recognized Tribes in southwest Washington State: the Confederated Tribes of the Chehalis Reservation, Nisqually Indian Tribe, </w:t>
      </w:r>
      <w:proofErr w:type="spellStart"/>
      <w:r>
        <w:t>Shoalwater</w:t>
      </w:r>
      <w:proofErr w:type="spellEnd"/>
      <w:r>
        <w:t xml:space="preserve"> Bay Indian Tribe, Skokomish Indian Tribe, and Squaxin Island Tribe. Each Tribe retains its own government, culture, and service priorities, and directs SPIPA through the Consortium structure.</w:t>
      </w:r>
    </w:p>
    <w:p w14:paraId="5F49F1DC" w14:textId="77777777" w:rsidR="00F15C42" w:rsidRDefault="00711997">
      <w:pPr>
        <w:spacing w:after="140"/>
      </w:pPr>
      <w:r>
        <w:t>SPIPA serves as the CSBG lead agency for the Consortium. The participating Tribes selected this arrangement because it lets each Tribe deliver services directly to its own community through its own staff while drawing on shared administrative, fiscal, and compliance infrastructure at SPIPA. The Tribes drive priorities and service delivery; SPIPA carries the process.</w:t>
      </w:r>
    </w:p>
    <w:p w14:paraId="5F49F1DD" w14:textId="77777777" w:rsidR="00F15C42" w:rsidRDefault="00711997">
      <w:pPr>
        <w:pStyle w:val="Heading2"/>
        <w:spacing w:after="140"/>
      </w:pPr>
      <w:r>
        <w:t>Roles and Relationship</w:t>
      </w:r>
    </w:p>
    <w:p w14:paraId="5F49F1DE" w14:textId="77777777" w:rsidR="00F15C42" w:rsidRDefault="00711997">
      <w:pPr>
        <w:spacing w:after="140"/>
      </w:pPr>
      <w:r>
        <w:t>Once a CSBG award is received, SPIPA and each participating Tribe enter into an operational Memorandum of Agreement. The MOA sets out roles and responsibilities for:</w:t>
      </w:r>
    </w:p>
    <w:p w14:paraId="5F49F1DF" w14:textId="77777777" w:rsidR="00F15C42" w:rsidRDefault="00711997">
      <w:pPr>
        <w:pStyle w:val="ListParagraph"/>
        <w:numPr>
          <w:ilvl w:val="0"/>
          <w:numId w:val="2"/>
        </w:numPr>
        <w:spacing w:after="80"/>
      </w:pPr>
      <w:r>
        <w:t>Programmatic goals and priorities</w:t>
      </w:r>
    </w:p>
    <w:p w14:paraId="5F49F1E0" w14:textId="77777777" w:rsidR="00F15C42" w:rsidRDefault="00711997">
      <w:pPr>
        <w:pStyle w:val="ListParagraph"/>
        <w:numPr>
          <w:ilvl w:val="0"/>
          <w:numId w:val="2"/>
        </w:numPr>
        <w:spacing w:after="80"/>
      </w:pPr>
      <w:r>
        <w:t>Approved activities and allowable expenditures</w:t>
      </w:r>
    </w:p>
    <w:p w14:paraId="5F49F1E1" w14:textId="77777777" w:rsidR="00F15C42" w:rsidRDefault="00711997">
      <w:pPr>
        <w:pStyle w:val="ListParagraph"/>
        <w:numPr>
          <w:ilvl w:val="0"/>
          <w:numId w:val="2"/>
        </w:numPr>
        <w:spacing w:after="80"/>
      </w:pPr>
      <w:r>
        <w:t>Budget management and financial reporting</w:t>
      </w:r>
    </w:p>
    <w:p w14:paraId="5F49F1E2" w14:textId="77777777" w:rsidR="00F15C42" w:rsidRDefault="00711997">
      <w:pPr>
        <w:pStyle w:val="ListParagraph"/>
        <w:numPr>
          <w:ilvl w:val="0"/>
          <w:numId w:val="2"/>
        </w:numPr>
        <w:spacing w:after="80"/>
      </w:pPr>
      <w:r>
        <w:t>Client confidentiality and records</w:t>
      </w:r>
    </w:p>
    <w:p w14:paraId="5F49F1E3" w14:textId="77777777" w:rsidR="00F15C42" w:rsidRDefault="00711997">
      <w:pPr>
        <w:pStyle w:val="ListParagraph"/>
        <w:numPr>
          <w:ilvl w:val="0"/>
          <w:numId w:val="2"/>
        </w:numPr>
        <w:spacing w:after="80"/>
      </w:pPr>
      <w:r>
        <w:t>Personnel and service delivery standards</w:t>
      </w:r>
    </w:p>
    <w:p w14:paraId="5F49F1E4" w14:textId="77777777" w:rsidR="00F15C42" w:rsidRDefault="00711997">
      <w:pPr>
        <w:pStyle w:val="ListParagraph"/>
        <w:numPr>
          <w:ilvl w:val="0"/>
          <w:numId w:val="2"/>
        </w:numPr>
        <w:spacing w:after="80"/>
      </w:pPr>
      <w:r>
        <w:t>Regulatory and reporting compliance</w:t>
      </w:r>
    </w:p>
    <w:p w14:paraId="5F49F1E5" w14:textId="77777777" w:rsidR="00F15C42" w:rsidRDefault="00711997">
      <w:pPr>
        <w:spacing w:after="140"/>
      </w:pPr>
      <w:r>
        <w:t>Under this arrangement:</w:t>
      </w:r>
    </w:p>
    <w:p w14:paraId="5F49F1E6" w14:textId="77777777" w:rsidR="00F15C42" w:rsidRDefault="00711997">
      <w:pPr>
        <w:pStyle w:val="ListParagraph"/>
        <w:numPr>
          <w:ilvl w:val="0"/>
          <w:numId w:val="2"/>
        </w:numPr>
        <w:spacing w:after="80"/>
      </w:pPr>
      <w:r>
        <w:t>Each Tribe sets its own CSBG priorities based on community need and delivers services through Tribal staff housed within its Family or Social Services Department.</w:t>
      </w:r>
    </w:p>
    <w:p w14:paraId="5F49F1E7" w14:textId="77777777" w:rsidR="00F15C42" w:rsidRDefault="00711997">
      <w:pPr>
        <w:pStyle w:val="ListParagraph"/>
        <w:numPr>
          <w:ilvl w:val="0"/>
          <w:numId w:val="2"/>
        </w:numPr>
        <w:spacing w:after="80"/>
      </w:pPr>
      <w:r>
        <w:t>SPIPA provides fiscal services, grant administration, subrecipient monitoring, programmatic oversight, technical assistance, and coordination across the Consortium.</w:t>
      </w:r>
    </w:p>
    <w:p w14:paraId="5F49F1E8" w14:textId="77777777" w:rsidR="00F15C42" w:rsidRDefault="00711997">
      <w:pPr>
        <w:pStyle w:val="ListParagraph"/>
        <w:numPr>
          <w:ilvl w:val="0"/>
          <w:numId w:val="2"/>
        </w:numPr>
        <w:spacing w:after="80"/>
      </w:pPr>
      <w:r>
        <w:t>The SPIPA Family and Community Resources Programs Manager is the point of contact for day-to-day program operations, meets regularly with partner Tribes to review activities and outcomes, and routes approved expenditures through SPIPA Fiscal Services.</w:t>
      </w:r>
    </w:p>
    <w:p w14:paraId="5F49F1E9" w14:textId="77777777" w:rsidR="00F15C42" w:rsidRDefault="00711997">
      <w:pPr>
        <w:pStyle w:val="ListParagraph"/>
        <w:numPr>
          <w:ilvl w:val="0"/>
          <w:numId w:val="2"/>
        </w:numPr>
        <w:spacing w:after="80"/>
      </w:pPr>
      <w:r>
        <w:t>SPIPA's Fiscal Services Department, under a full-time Fiscal Services Director, maintains the accounting systems, compliance controls, and Single Audit posture required for federal funds.</w:t>
      </w:r>
    </w:p>
    <w:p w14:paraId="5F49F1EA" w14:textId="77777777" w:rsidR="00F15C42" w:rsidRDefault="00711997">
      <w:pPr>
        <w:pStyle w:val="Heading2"/>
        <w:spacing w:after="140"/>
      </w:pPr>
      <w:r>
        <w:t>Service Delivery Model</w:t>
      </w:r>
    </w:p>
    <w:p w14:paraId="5F49F1EB" w14:textId="77777777" w:rsidR="00F15C42" w:rsidRDefault="00711997">
      <w:pPr>
        <w:spacing w:after="140"/>
      </w:pPr>
      <w:r>
        <w:lastRenderedPageBreak/>
        <w:t xml:space="preserve">CSBG services are delivered at the Tribal level, close to the community. At each participating Tribe, a client seeking assistance contacts the Family or Social Services Department, where staff conduct intake and needs assessment to identify immediate needs and longer-term goals. A case manager works with the client to develop a case plan that addresses emergency stabilization and steps toward </w:t>
      </w:r>
      <w:proofErr w:type="gramStart"/>
      <w:r>
        <w:t>self-sufficiency, and</w:t>
      </w:r>
      <w:proofErr w:type="gramEnd"/>
      <w:r>
        <w:t xml:space="preserve"> connects the client to the program best suited to their situation - CSBG, TANF, CCDF, Tribal General Assistance, food assistance, housing support, or another resource.</w:t>
      </w:r>
    </w:p>
    <w:p w14:paraId="5F49F1EC" w14:textId="77777777" w:rsidR="00F15C42" w:rsidRDefault="00711997">
      <w:pPr>
        <w:spacing w:after="140"/>
      </w:pPr>
      <w:r>
        <w:t xml:space="preserve">When CSBG is the right fit, Tribal staff complete a purchase request with supporting documentation and submit it to SPIPA. The Family and Community Resources Programs Manager </w:t>
      </w:r>
      <w:proofErr w:type="gramStart"/>
      <w:r>
        <w:t>reviews</w:t>
      </w:r>
      <w:proofErr w:type="gramEnd"/>
      <w:r>
        <w:t xml:space="preserve"> each request for allowability, reasonableness, and alignment with CSBG purposes before routing to SPIPA Fiscal Services for processing. Questions are resolved collaboratively with Tribal staff, or the client is redirected to a more appropriate program.</w:t>
      </w:r>
    </w:p>
    <w:p w14:paraId="5F49F1ED" w14:textId="77777777" w:rsidR="00F15C42" w:rsidRDefault="00711997">
      <w:pPr>
        <w:spacing w:after="140"/>
      </w:pPr>
      <w:r>
        <w:t>This structure keeps decisions local and culturally grounded while ensuring federal compliance and fiscal accountability at the consortium level.</w:t>
      </w:r>
    </w:p>
    <w:p w14:paraId="5F49F1EE" w14:textId="77777777" w:rsidR="00F15C42" w:rsidRDefault="00711997">
      <w:pPr>
        <w:pStyle w:val="Heading2"/>
        <w:spacing w:after="140"/>
      </w:pPr>
      <w:r>
        <w:t>Activities Supported</w:t>
      </w:r>
    </w:p>
    <w:p w14:paraId="5F49F1EF" w14:textId="77777777" w:rsidR="00F15C42" w:rsidRDefault="00711997">
      <w:pPr>
        <w:spacing w:after="140"/>
      </w:pPr>
      <w:r>
        <w:t>CSBG funds support a range of activities designed to help low-income Tribal families and individuals remove obstacles to self-sufficiency. Typical activities include:</w:t>
      </w:r>
    </w:p>
    <w:p w14:paraId="5F49F1F0" w14:textId="77777777" w:rsidR="00F15C42" w:rsidRDefault="00711997">
      <w:pPr>
        <w:pStyle w:val="ListParagraph"/>
        <w:numPr>
          <w:ilvl w:val="0"/>
          <w:numId w:val="2"/>
        </w:numPr>
        <w:spacing w:after="80"/>
      </w:pPr>
      <w:r>
        <w:t>Emergency assistance for basic human needs, including food, housing-related costs, utilities, and other urgent needs that threaten health or stability, particularly for elders and families in crisis.</w:t>
      </w:r>
    </w:p>
    <w:p w14:paraId="5F49F1F1" w14:textId="77777777" w:rsidR="00F15C42" w:rsidRDefault="00711997">
      <w:pPr>
        <w:pStyle w:val="ListParagraph"/>
        <w:numPr>
          <w:ilvl w:val="0"/>
          <w:numId w:val="2"/>
        </w:numPr>
        <w:spacing w:after="80"/>
      </w:pPr>
      <w:r>
        <w:t>Coordination with Tribal and regional employment and workforce development programs to help participants secure and maintain meaningful employment.</w:t>
      </w:r>
    </w:p>
    <w:p w14:paraId="5F49F1F2" w14:textId="77777777" w:rsidR="00F15C42" w:rsidRDefault="00711997">
      <w:pPr>
        <w:pStyle w:val="ListParagraph"/>
        <w:numPr>
          <w:ilvl w:val="0"/>
          <w:numId w:val="2"/>
        </w:numPr>
        <w:spacing w:after="80"/>
      </w:pPr>
      <w:r>
        <w:t>Coordination with Tribal education and training programs, including support for educational supplies, registration and application fees, and culturally based learning opportunities.</w:t>
      </w:r>
    </w:p>
    <w:p w14:paraId="5F49F1F3" w14:textId="77777777" w:rsidR="00F15C42" w:rsidRDefault="00711997">
      <w:pPr>
        <w:pStyle w:val="ListParagraph"/>
        <w:numPr>
          <w:ilvl w:val="0"/>
          <w:numId w:val="2"/>
        </w:numPr>
        <w:spacing w:after="80"/>
      </w:pPr>
      <w:r>
        <w:t>Financial literacy, one-on-one budgeting support, and asset-building assistance, often in coordination with other Tribal or community programs.</w:t>
      </w:r>
    </w:p>
    <w:p w14:paraId="5F49F1F4" w14:textId="77777777" w:rsidR="00F15C42" w:rsidRDefault="00711997">
      <w:pPr>
        <w:pStyle w:val="ListParagraph"/>
        <w:numPr>
          <w:ilvl w:val="0"/>
          <w:numId w:val="2"/>
        </w:numPr>
        <w:spacing w:after="80"/>
      </w:pPr>
      <w:r>
        <w:t xml:space="preserve">Nutrition-related </w:t>
      </w:r>
      <w:proofErr w:type="gramStart"/>
      <w:r>
        <w:t>supports</w:t>
      </w:r>
      <w:proofErr w:type="gramEnd"/>
      <w:r>
        <w:t>, including coordination with Senior and Community Food Programs and SPIPA's Food Distribution Program / SNAP outreach.</w:t>
      </w:r>
    </w:p>
    <w:p w14:paraId="5F49F1F5" w14:textId="77777777" w:rsidR="00F15C42" w:rsidRDefault="00711997">
      <w:pPr>
        <w:pStyle w:val="ListParagraph"/>
        <w:numPr>
          <w:ilvl w:val="0"/>
          <w:numId w:val="2"/>
        </w:numPr>
        <w:spacing w:after="80"/>
      </w:pPr>
      <w:r>
        <w:t>Services and activities for homebound Tribal members and elders to reduce isolation and support wellbeing.</w:t>
      </w:r>
    </w:p>
    <w:p w14:paraId="5F49F1F6" w14:textId="77777777" w:rsidR="00F15C42" w:rsidRDefault="00711997">
      <w:pPr>
        <w:pStyle w:val="ListParagraph"/>
        <w:numPr>
          <w:ilvl w:val="0"/>
          <w:numId w:val="2"/>
        </w:numPr>
        <w:spacing w:after="80"/>
      </w:pPr>
      <w:r>
        <w:t xml:space="preserve">Referral and linkage services that connect participants to tax preparation, credit counseling, cash assistance, </w:t>
      </w:r>
      <w:proofErr w:type="gramStart"/>
      <w:r>
        <w:t>child care</w:t>
      </w:r>
      <w:proofErr w:type="gramEnd"/>
      <w:r>
        <w:t>, and other supports that complement CSBG.</w:t>
      </w:r>
    </w:p>
    <w:p w14:paraId="5F49F1F7" w14:textId="77777777" w:rsidR="00F15C42" w:rsidRDefault="00711997">
      <w:pPr>
        <w:pStyle w:val="Heading2"/>
        <w:spacing w:after="140"/>
      </w:pPr>
      <w:r>
        <w:t>Coordination and Linkages</w:t>
      </w:r>
    </w:p>
    <w:p w14:paraId="5F49F1F8" w14:textId="77777777" w:rsidR="00F15C42" w:rsidRDefault="00711997">
      <w:pPr>
        <w:spacing w:after="140"/>
      </w:pPr>
      <w:r>
        <w:t>CSBG operates alongside other programs administered by SPIPA and by the Tribes, including the Child Care Development Fund (CCDF), TANF, ICW coordination, workforce development, and food programs. Tribal Family and Social Services Departments have built a comprehensive, culturally appropriate service network that supports holistic family wellbeing and maximizes available resources. SPIPA and Tribal staff meet regularly with partner agencies to share information, refine referral pathways, and close service ga</w:t>
      </w:r>
      <w:r>
        <w:t>ps.</w:t>
      </w:r>
    </w:p>
    <w:p w14:paraId="5F49F1F9" w14:textId="77777777" w:rsidR="00F15C42" w:rsidRDefault="00711997">
      <w:pPr>
        <w:spacing w:after="140"/>
      </w:pPr>
      <w:r>
        <w:t>Because CSBG funds are limited, SPIPA and the Tribes focus on stretching each dollar - leveraging other funding streams, strengthening referrals, and pursuing complementary funding that builds on CSBG-supported activities.</w:t>
      </w:r>
    </w:p>
    <w:p w14:paraId="5F49F1FA" w14:textId="77777777" w:rsidR="00F15C42" w:rsidRDefault="00711997">
      <w:pPr>
        <w:pStyle w:val="Heading2"/>
        <w:spacing w:after="140"/>
      </w:pPr>
      <w:r>
        <w:lastRenderedPageBreak/>
        <w:t>Community Input</w:t>
      </w:r>
    </w:p>
    <w:p w14:paraId="5F49F1FB" w14:textId="77777777" w:rsidR="00F15C42" w:rsidRDefault="00711997">
      <w:pPr>
        <w:spacing w:after="140"/>
      </w:pPr>
      <w:r>
        <w:t xml:space="preserve">The participating Tribes gather community input through ongoing channels that reflect how their communities </w:t>
      </w:r>
      <w:proofErr w:type="gramStart"/>
      <w:r>
        <w:t>actually communicate</w:t>
      </w:r>
      <w:proofErr w:type="gramEnd"/>
      <w:r>
        <w:t xml:space="preserve">: direct conversation with staff, community meetings, Tribal Council updates, social media, and video conferencing. SPIPA and Tribal </w:t>
      </w:r>
      <w:proofErr w:type="gramStart"/>
      <w:r>
        <w:t>CSBG staff</w:t>
      </w:r>
      <w:proofErr w:type="gramEnd"/>
      <w:r>
        <w:t xml:space="preserve"> review that input to identify needs CSBG can address, service gaps that warrant additional resources, and opportunities for neighborhood-based initiatives. Community priorities shape the services offered at each Tribe; SPIPA supports those priorities through the shared administrative framework.</w:t>
      </w:r>
    </w:p>
    <w:p w14:paraId="5F49F1FC" w14:textId="77777777" w:rsidR="00F15C42" w:rsidRDefault="00711997">
      <w:pPr>
        <w:pStyle w:val="Heading2"/>
        <w:spacing w:after="140"/>
      </w:pPr>
      <w:r>
        <w:t>Eligibility</w:t>
      </w:r>
    </w:p>
    <w:p w14:paraId="5F49F1FD" w14:textId="77777777" w:rsidR="00F15C42" w:rsidRDefault="00711997">
      <w:pPr>
        <w:spacing w:after="140"/>
      </w:pPr>
      <w:r>
        <w:t xml:space="preserve">CSBG services are available to Tribal members and other Indians living on or adjacent to the Chehalis, Nisqually, Skokomish, Squaxin Island, and </w:t>
      </w:r>
      <w:proofErr w:type="spellStart"/>
      <w:r>
        <w:t>Shoalwater</w:t>
      </w:r>
      <w:proofErr w:type="spellEnd"/>
      <w:r>
        <w:t xml:space="preserve"> Bay Reservations. Individual eligibility is determined at the Tribal level during intake, using established procedures for income verification and, where verification is not possible or practical, locally determined procedures that protect program integrity while recognizing the realities clients sometimes face. Priority categories have historically included youth and </w:t>
      </w:r>
      <w:proofErr w:type="gramStart"/>
      <w:r>
        <w:t>elders</w:t>
      </w:r>
      <w:proofErr w:type="gramEnd"/>
      <w:r>
        <w:t>, with specific priorities set each plan cycle by the participating Tribes.</w:t>
      </w:r>
    </w:p>
    <w:p w14:paraId="5F49F1FE" w14:textId="77777777" w:rsidR="00F15C42" w:rsidRDefault="00711997">
      <w:pPr>
        <w:pStyle w:val="Heading2"/>
        <w:spacing w:after="140"/>
      </w:pPr>
      <w:r>
        <w:t>Oversight and Compliance</w:t>
      </w:r>
    </w:p>
    <w:p w14:paraId="5F49F1FF" w14:textId="77777777" w:rsidR="00F15C42" w:rsidRDefault="00711997">
      <w:pPr>
        <w:spacing w:after="140"/>
      </w:pPr>
      <w:r>
        <w:t xml:space="preserve">SPIPA maintains the fiscal, administrative, and compliance infrastructure required of a federal grant recipient, including written policies, internal controls, subrecipient monitoring, and Single Audit coverage. The Family and Community Resources Programs Manager </w:t>
      </w:r>
      <w:proofErr w:type="gramStart"/>
      <w:r>
        <w:t>provides</w:t>
      </w:r>
      <w:proofErr w:type="gramEnd"/>
      <w:r>
        <w:t xml:space="preserve"> programmatic oversight and technical assistance to participating Tribes, and coordinates reporting to the Office of Community Services (OCS) and other funders. Activities, expenditures, and documentation are subject to review under the MOA between SPIPA and each participating Tribe.</w:t>
      </w:r>
    </w:p>
    <w:p w14:paraId="5F49F200" w14:textId="77777777" w:rsidR="00F15C42" w:rsidRDefault="00711997">
      <w:pPr>
        <w:pStyle w:val="Heading2"/>
        <w:spacing w:after="140"/>
      </w:pPr>
      <w:r>
        <w:t>Summary</w:t>
      </w:r>
    </w:p>
    <w:p w14:paraId="5F49F201" w14:textId="77777777" w:rsidR="00F15C42" w:rsidRDefault="00711997">
      <w:pPr>
        <w:spacing w:after="140"/>
      </w:pPr>
      <w:r>
        <w:t xml:space="preserve">The SPIPA CSBG program is a long-standing, </w:t>
      </w:r>
      <w:proofErr w:type="gramStart"/>
      <w:r>
        <w:t>Tribally</w:t>
      </w:r>
      <w:proofErr w:type="gramEnd"/>
      <w:r>
        <w:t xml:space="preserve"> driven model. Five sovereign Tribes set their own priorities and deliver services through their own staff, in their own communities, in ways that reflect their cultures and needs. SPIPA provides the shared administrative backbone - fiscal services, grant compliance, technical assistance, and coordination - that makes that model efficient and sustainable. The result is a service delivery system that is local where it needs to be local, consolidated where consolidation adds value, and accountable at </w:t>
      </w:r>
      <w:r>
        <w:t>every level.</w:t>
      </w:r>
    </w:p>
    <w:sectPr w:rsidR="00F15C4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23501" w14:textId="77777777" w:rsidR="00711997" w:rsidRDefault="00711997" w:rsidP="005D0A61">
      <w:r>
        <w:separator/>
      </w:r>
    </w:p>
  </w:endnote>
  <w:endnote w:type="continuationSeparator" w:id="0">
    <w:p w14:paraId="38DEEF15" w14:textId="77777777" w:rsidR="00711997" w:rsidRDefault="00711997" w:rsidP="005D0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F292" w14:textId="77777777" w:rsidR="005D0A61" w:rsidRDefault="005D0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140B" w14:textId="77777777" w:rsidR="005D0A61" w:rsidRDefault="005D0A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18AE" w14:textId="77777777" w:rsidR="005D0A61" w:rsidRDefault="005D0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CF4BF" w14:textId="77777777" w:rsidR="00711997" w:rsidRDefault="00711997" w:rsidP="005D0A61">
      <w:r>
        <w:separator/>
      </w:r>
    </w:p>
  </w:footnote>
  <w:footnote w:type="continuationSeparator" w:id="0">
    <w:p w14:paraId="0099C349" w14:textId="77777777" w:rsidR="00711997" w:rsidRDefault="00711997" w:rsidP="005D0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FD44" w14:textId="77777777" w:rsidR="005D0A61" w:rsidRDefault="005D0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750537"/>
      <w:docPartObj>
        <w:docPartGallery w:val="Watermarks"/>
        <w:docPartUnique/>
      </w:docPartObj>
    </w:sdtPr>
    <w:sdtContent>
      <w:p w14:paraId="2B981BE5" w14:textId="35DEE013" w:rsidR="005D0A61" w:rsidRDefault="005D0A61">
        <w:pPr>
          <w:pStyle w:val="Header"/>
        </w:pPr>
        <w:r>
          <w:rPr>
            <w:noProof/>
          </w:rPr>
          <w:pict w14:anchorId="2A57D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6883" w14:textId="77777777" w:rsidR="005D0A61" w:rsidRDefault="005D0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E2B06"/>
    <w:multiLevelType w:val="hybridMultilevel"/>
    <w:tmpl w:val="669E2FDE"/>
    <w:lvl w:ilvl="0" w:tplc="E01E5938">
      <w:start w:val="1"/>
      <w:numFmt w:val="bullet"/>
      <w:lvlText w:val="•"/>
      <w:lvlJc w:val="left"/>
      <w:pPr>
        <w:ind w:left="720" w:hanging="360"/>
      </w:pPr>
    </w:lvl>
    <w:lvl w:ilvl="1" w:tplc="51FEDA20">
      <w:numFmt w:val="decimal"/>
      <w:lvlText w:val=""/>
      <w:lvlJc w:val="left"/>
    </w:lvl>
    <w:lvl w:ilvl="2" w:tplc="833858CA">
      <w:numFmt w:val="decimal"/>
      <w:lvlText w:val=""/>
      <w:lvlJc w:val="left"/>
    </w:lvl>
    <w:lvl w:ilvl="3" w:tplc="97FACF38">
      <w:numFmt w:val="decimal"/>
      <w:lvlText w:val=""/>
      <w:lvlJc w:val="left"/>
    </w:lvl>
    <w:lvl w:ilvl="4" w:tplc="5472272C">
      <w:numFmt w:val="decimal"/>
      <w:lvlText w:val=""/>
      <w:lvlJc w:val="left"/>
    </w:lvl>
    <w:lvl w:ilvl="5" w:tplc="4AEE0418">
      <w:numFmt w:val="decimal"/>
      <w:lvlText w:val=""/>
      <w:lvlJc w:val="left"/>
    </w:lvl>
    <w:lvl w:ilvl="6" w:tplc="8E84CE74">
      <w:numFmt w:val="decimal"/>
      <w:lvlText w:val=""/>
      <w:lvlJc w:val="left"/>
    </w:lvl>
    <w:lvl w:ilvl="7" w:tplc="CE8E9E2E">
      <w:numFmt w:val="decimal"/>
      <w:lvlText w:val=""/>
      <w:lvlJc w:val="left"/>
    </w:lvl>
    <w:lvl w:ilvl="8" w:tplc="E9AAA2A0">
      <w:numFmt w:val="decimal"/>
      <w:lvlText w:val=""/>
      <w:lvlJc w:val="left"/>
    </w:lvl>
  </w:abstractNum>
  <w:abstractNum w:abstractNumId="1" w15:restartNumberingAfterBreak="0">
    <w:nsid w:val="32CF62D4"/>
    <w:multiLevelType w:val="hybridMultilevel"/>
    <w:tmpl w:val="3CE48446"/>
    <w:lvl w:ilvl="0" w:tplc="DD802BE2">
      <w:start w:val="1"/>
      <w:numFmt w:val="bullet"/>
      <w:lvlText w:val="●"/>
      <w:lvlJc w:val="left"/>
      <w:pPr>
        <w:ind w:left="720" w:hanging="360"/>
      </w:pPr>
    </w:lvl>
    <w:lvl w:ilvl="1" w:tplc="E0F48468">
      <w:start w:val="1"/>
      <w:numFmt w:val="bullet"/>
      <w:lvlText w:val="○"/>
      <w:lvlJc w:val="left"/>
      <w:pPr>
        <w:ind w:left="1440" w:hanging="360"/>
      </w:pPr>
    </w:lvl>
    <w:lvl w:ilvl="2" w:tplc="EC287988">
      <w:start w:val="1"/>
      <w:numFmt w:val="bullet"/>
      <w:lvlText w:val="■"/>
      <w:lvlJc w:val="left"/>
      <w:pPr>
        <w:ind w:left="2160" w:hanging="360"/>
      </w:pPr>
    </w:lvl>
    <w:lvl w:ilvl="3" w:tplc="F198F1C4">
      <w:start w:val="1"/>
      <w:numFmt w:val="bullet"/>
      <w:lvlText w:val="●"/>
      <w:lvlJc w:val="left"/>
      <w:pPr>
        <w:ind w:left="2880" w:hanging="360"/>
      </w:pPr>
    </w:lvl>
    <w:lvl w:ilvl="4" w:tplc="792C069E">
      <w:start w:val="1"/>
      <w:numFmt w:val="bullet"/>
      <w:lvlText w:val="○"/>
      <w:lvlJc w:val="left"/>
      <w:pPr>
        <w:ind w:left="3600" w:hanging="360"/>
      </w:pPr>
    </w:lvl>
    <w:lvl w:ilvl="5" w:tplc="4B320B28">
      <w:start w:val="1"/>
      <w:numFmt w:val="bullet"/>
      <w:lvlText w:val="■"/>
      <w:lvlJc w:val="left"/>
      <w:pPr>
        <w:ind w:left="4320" w:hanging="360"/>
      </w:pPr>
    </w:lvl>
    <w:lvl w:ilvl="6" w:tplc="6B40DAFA">
      <w:start w:val="1"/>
      <w:numFmt w:val="bullet"/>
      <w:lvlText w:val="●"/>
      <w:lvlJc w:val="left"/>
      <w:pPr>
        <w:ind w:left="5040" w:hanging="360"/>
      </w:pPr>
    </w:lvl>
    <w:lvl w:ilvl="7" w:tplc="61963ECA">
      <w:start w:val="1"/>
      <w:numFmt w:val="bullet"/>
      <w:lvlText w:val="●"/>
      <w:lvlJc w:val="left"/>
      <w:pPr>
        <w:ind w:left="5760" w:hanging="360"/>
      </w:pPr>
    </w:lvl>
    <w:lvl w:ilvl="8" w:tplc="3C2A88B2">
      <w:start w:val="1"/>
      <w:numFmt w:val="bullet"/>
      <w:lvlText w:val="●"/>
      <w:lvlJc w:val="left"/>
      <w:pPr>
        <w:ind w:left="6480" w:hanging="360"/>
      </w:pPr>
    </w:lvl>
  </w:abstractNum>
  <w:num w:numId="1" w16cid:durableId="674461373">
    <w:abstractNumId w:val="1"/>
    <w:lvlOverride w:ilvl="0">
      <w:startOverride w:val="1"/>
    </w:lvlOverride>
  </w:num>
  <w:num w:numId="2" w16cid:durableId="4206393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C42"/>
    <w:rsid w:val="005D0A61"/>
    <w:rsid w:val="00711997"/>
    <w:rsid w:val="00B1380D"/>
    <w:rsid w:val="00F15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9F1D7"/>
  <w15:docId w15:val="{940B9120-2320-4AD8-BBDF-28B6051E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80"/>
      <w:outlineLvl w:val="0"/>
    </w:pPr>
    <w:rPr>
      <w:b/>
      <w:bCs/>
      <w:sz w:val="32"/>
      <w:szCs w:val="32"/>
    </w:rPr>
  </w:style>
  <w:style w:type="paragraph" w:styleId="Heading2">
    <w:name w:val="heading 2"/>
    <w:uiPriority w:val="9"/>
    <w:unhideWhenUsed/>
    <w:qFormat/>
    <w:pPr>
      <w:spacing w:before="220" w:after="100"/>
      <w:outlineLvl w:val="1"/>
    </w:pPr>
    <w:rPr>
      <w:b/>
      <w:bCs/>
      <w:color w:val="1F3864"/>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D0A61"/>
    <w:pPr>
      <w:tabs>
        <w:tab w:val="center" w:pos="4680"/>
        <w:tab w:val="right" w:pos="9360"/>
      </w:tabs>
    </w:pPr>
  </w:style>
  <w:style w:type="character" w:customStyle="1" w:styleId="HeaderChar">
    <w:name w:val="Header Char"/>
    <w:basedOn w:val="DefaultParagraphFont"/>
    <w:link w:val="Header"/>
    <w:uiPriority w:val="99"/>
    <w:rsid w:val="005D0A61"/>
  </w:style>
  <w:style w:type="paragraph" w:styleId="Footer">
    <w:name w:val="footer"/>
    <w:basedOn w:val="Normal"/>
    <w:link w:val="FooterChar"/>
    <w:uiPriority w:val="99"/>
    <w:unhideWhenUsed/>
    <w:rsid w:val="005D0A61"/>
    <w:pPr>
      <w:tabs>
        <w:tab w:val="center" w:pos="4680"/>
        <w:tab w:val="right" w:pos="9360"/>
      </w:tabs>
    </w:pPr>
  </w:style>
  <w:style w:type="character" w:customStyle="1" w:styleId="FooterChar">
    <w:name w:val="Footer Char"/>
    <w:basedOn w:val="DefaultParagraphFont"/>
    <w:link w:val="Footer"/>
    <w:uiPriority w:val="99"/>
    <w:rsid w:val="005D0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06613b-1ce7-4e5a-b7e6-9baa5288ae30" xsi:nil="true"/>
    <lcf76f155ced4ddcb4097134ff3c332f xmlns="8b189914-738b-4e44-b188-18f103c56e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02852B5C37664CB94427EC625BF512" ma:contentTypeVersion="14" ma:contentTypeDescription="Create a new document." ma:contentTypeScope="" ma:versionID="d469a2765f1c08fc1a94f676c7fa11d0">
  <xsd:schema xmlns:xsd="http://www.w3.org/2001/XMLSchema" xmlns:xs="http://www.w3.org/2001/XMLSchema" xmlns:p="http://schemas.microsoft.com/office/2006/metadata/properties" xmlns:ns2="8b189914-738b-4e44-b188-18f103c56ee1" xmlns:ns3="7b06613b-1ce7-4e5a-b7e6-9baa5288ae30" targetNamespace="http://schemas.microsoft.com/office/2006/metadata/properties" ma:root="true" ma:fieldsID="627b1977a9f9aa1441d15f82bf735d7c" ns2:_="" ns3:_="">
    <xsd:import namespace="8b189914-738b-4e44-b188-18f103c56ee1"/>
    <xsd:import namespace="7b06613b-1ce7-4e5a-b7e6-9baa5288ae3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89914-738b-4e44-b188-18f103c56ee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04372a8-c232-43b9-ae97-32898c634da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06613b-1ce7-4e5a-b7e6-9baa5288ae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2b92a7b-e9b9-465c-a875-3d708a4e9afa}" ma:internalName="TaxCatchAll" ma:showField="CatchAllData" ma:web="7b06613b-1ce7-4e5a-b7e6-9baa5288ae3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DD9CFA-D83C-42F3-9A29-3DC3D0D82C23}">
  <ds:schemaRefs>
    <ds:schemaRef ds:uri="http://schemas.microsoft.com/office/2006/metadata/properties"/>
    <ds:schemaRef ds:uri="http://schemas.microsoft.com/office/infopath/2007/PartnerControls"/>
    <ds:schemaRef ds:uri="7b06613b-1ce7-4e5a-b7e6-9baa5288ae30"/>
    <ds:schemaRef ds:uri="8b189914-738b-4e44-b188-18f103c56ee1"/>
  </ds:schemaRefs>
</ds:datastoreItem>
</file>

<file path=customXml/itemProps2.xml><?xml version="1.0" encoding="utf-8"?>
<ds:datastoreItem xmlns:ds="http://schemas.openxmlformats.org/officeDocument/2006/customXml" ds:itemID="{E1EB8408-0A35-4831-9F81-C4578CEF2162}">
  <ds:schemaRefs>
    <ds:schemaRef ds:uri="http://schemas.microsoft.com/sharepoint/v3/contenttype/forms"/>
  </ds:schemaRefs>
</ds:datastoreItem>
</file>

<file path=customXml/itemProps3.xml><?xml version="1.0" encoding="utf-8"?>
<ds:datastoreItem xmlns:ds="http://schemas.openxmlformats.org/officeDocument/2006/customXml" ds:itemID="{F18BC753-BE34-41E7-81EE-C9267DB29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89914-738b-4e44-b188-18f103c56ee1"/>
    <ds:schemaRef ds:uri="7b06613b-1ce7-4e5a-b7e6-9baa5288a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1193</Words>
  <Characters>6802</Characters>
  <Application>Microsoft Office Word</Application>
  <DocSecurity>0</DocSecurity>
  <Lines>56</Lines>
  <Paragraphs>15</Paragraphs>
  <ScaleCrop>false</ScaleCrop>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Joseph Reyes</cp:lastModifiedBy>
  <cp:revision>2</cp:revision>
  <dcterms:created xsi:type="dcterms:W3CDTF">2026-04-24T17:14:00Z</dcterms:created>
  <dcterms:modified xsi:type="dcterms:W3CDTF">2026-04-24T17:16:00Z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0x0101009102852B5C37664CB94427EC625BF512</vt:lpwstr>
  </property>
  <property fmtid="{D5CDD505-2E9C-101B-9397-08002B2CF9AE}" pid="3" name="MediaServiceImageTags">
    <vt:lpwstr/>
  </property>
</Properties>
</file>