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i/>
          <w:iCs/>
          <w:sz w:val="22"/>
          <w:szCs w:val="22"/>
        </w:rPr>
        <w:t xml:space="preserve">WSDA FA Resiliency — South Puget Intertribal Planning Agency</w:t>
      </w:r>
    </w:p>
    <w:p>
      <w:pPr>
        <w:spacing w:after="240"/>
        <w:jc w:val="center"/>
      </w:pPr>
      <w:r>
        <w:rPr>
          <w:b/>
          <w:bCs/>
          <w:sz w:val="28"/>
          <w:szCs w:val="28"/>
        </w:rPr>
        <w:t xml:space="preserve">Executive Summary — WSDA Food Assistance Resiliency Grant (FY 2026–2027)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FBFBF" w:sz="4"/>
              <w:left w:val="single" w:color="BFBFBF" w:sz="4"/>
              <w:bottom w:val="single" w:color="BFBFBF" w:sz="4"/>
              <w:right w:val="single" w:color="BFBFBF" w:sz="4"/>
            </w:tcBorders>
            <w:shd w:fill="FFF7E6" w:val="clear"/>
            <w:tcMar>
              <w:top w:type="dxa" w:w="100"/>
              <w:left w:type="dxa" w:w="140"/>
              <w:bottom w:type="dxa" w:w="100"/>
              <w:right w:type="dxa" w:w="140"/>
            </w:tcMar>
          </w:tcPr>
          <w:p>
            <w:r>
              <w:rPr>
                <w:b/>
                <w:bCs/>
              </w:rPr>
              <w:t xml:space="preserve">Status: </w:t>
            </w:r>
            <w:r>
              <w:t xml:space="preserve">Initial draft. Application responses are entered and saved in the WSDA webform and printed for word-count tracking and circulation. Nothing has been submitted. This summary is being shared for internal review, Tribal coordination, and Leadership Team and Board approval ahead of submission.</w:t>
            </w:r>
          </w:p>
        </w:tc>
      </w:tr>
    </w:tbl>
    <w:p>
      <w:pPr>
        <w:spacing w:after="120"/>
      </w:pPr>
    </w:p>
    <w:p>
      <w:pPr>
        <w:pStyle w:val="Heading1"/>
        <w:spacing w:after="160" w:before="240"/>
      </w:pPr>
      <w:r>
        <w:rPr>
          <w:b/>
          <w:bCs/>
          <w:sz w:val="32"/>
          <w:szCs w:val="32"/>
        </w:rPr>
        <w:t xml:space="preserve">Executive Summary</w:t>
      </w:r>
    </w:p>
    <w:p>
      <w:pPr>
        <w:pStyle w:val="Heading2"/>
        <w:spacing w:after="100" w:before="200"/>
      </w:pPr>
      <w:r>
        <w:rPr>
          <w:b/>
          <w:bCs/>
          <w:sz w:val="26"/>
          <w:szCs w:val="26"/>
        </w:rPr>
        <w:t xml:space="preserve">What SPIPA is proposing</w:t>
      </w:r>
    </w:p>
    <w:p>
      <w:pPr>
        <w:spacing w:after="140" w:line="300"/>
      </w:pPr>
      <w:r>
        <w:t xml:space="preserve">SPIPA is preparing a renewal application to the Washington State Department of Agriculture (WSDA) Food Assistance Resiliency Grant for the FY 2026–2027 cycle. SPIPA will purchase food, assemble food boxes at its warehouse on the Nisqually Reservation, and distribute boxes to member Tribes — Chehalis, Nisqually, Shoalwater Bay, Skokomish, and Squaxin Island. SPIPA handles purchasing, logistics, compliance, and reporting so each Tribe’s role stays focused on the household-facing side.</w:t>
      </w:r>
    </w:p>
    <w:p>
      <w:pPr>
        <w:pStyle w:val="Heading2"/>
        <w:spacing w:after="100" w:before="200"/>
      </w:pPr>
      <w:r>
        <w:rPr>
          <w:b/>
          <w:bCs/>
          <w:sz w:val="26"/>
          <w:szCs w:val="26"/>
        </w:rPr>
        <w:t xml:space="preserve">Joint application this cycle, individual applications next cycle</w:t>
      </w:r>
    </w:p>
    <w:p>
      <w:pPr>
        <w:spacing w:after="140" w:line="300"/>
      </w:pPr>
      <w:r>
        <w:t xml:space="preserve">For this application cycle, member Tribes have decided to apply through a joint, SPIPA-led application. The intent for the next cycle — application currently forecasted due May 2027 — is for each Tribe to apply individually. The joint approach this round consolidates compliance and reporting with SPIPA while the next cycle is positioned for direct Tribal applications.</w:t>
      </w:r>
    </w:p>
    <w:p>
      <w:pPr>
        <w:pStyle w:val="Heading2"/>
        <w:spacing w:after="100" w:before="200"/>
      </w:pPr>
      <w:r>
        <w:rPr>
          <w:b/>
          <w:bCs/>
          <w:sz w:val="26"/>
          <w:szCs w:val="26"/>
        </w:rPr>
        <w:t xml:space="preserve">How the program works</w:t>
      </w:r>
    </w:p>
    <w:p>
      <w:pPr>
        <w:spacing w:after="140" w:line="300"/>
      </w:pPr>
      <w:r>
        <w:t xml:space="preserve">The Resiliency food box rides on SPIPA’s existing FDPIR and diaper distribution cycle. SPIPA delivers boxes to each Tribe on the same monthly run that already carries FDPIR commodities and diapers. Households come to FDPIR/diaper day at their Tribe and pick up their food box alongside their FDPIR food order and diapers. Same day, same site, same trusted team.</w:t>
      </w:r>
    </w:p>
    <w:p>
      <w:pPr>
        <w:spacing w:after="140" w:line="300"/>
      </w:pPr>
      <w:r>
        <w:t xml:space="preserve">Each Tribe communicates the delivery date through its own program channels — Squaxin Island Food Bank, Tuwaduq Family Services at Skokomish, Nisqually Community Services, Chehalis Social Services, and Shoalwater Bay Social Services — so eligible households know when to come. Tribes also identify households outside FDPIR who should receive a box and households that need a home delivery.</w:t>
      </w:r>
    </w:p>
    <w:p>
      <w:pPr>
        <w:pStyle w:val="Heading2"/>
        <w:spacing w:after="100" w:before="200"/>
      </w:pPr>
      <w:r>
        <w:rPr>
          <w:b/>
          <w:bCs/>
          <w:sz w:val="26"/>
          <w:szCs w:val="26"/>
        </w:rPr>
        <w:t xml:space="preserve">What this means for the Tribe</w:t>
      </w:r>
    </w:p>
    <w:p>
      <w:pPr>
        <w:pStyle w:val="ListParagraph"/>
        <w:numPr>
          <w:ilvl w:val="0"/>
          <w:numId w:val="2"/>
        </w:numPr>
        <w:spacing w:after="80" w:line="280"/>
      </w:pPr>
      <w:r>
        <w:t xml:space="preserve">The Tribe receives food boxes for distribution to Tribal households; the Tribe does not carry the grant’s purchasing, reporting, or reimbursement workload this cycle.</w:t>
      </w:r>
    </w:p>
    <w:p>
      <w:pPr>
        <w:pStyle w:val="ListParagraph"/>
        <w:numPr>
          <w:ilvl w:val="0"/>
          <w:numId w:val="2"/>
        </w:numPr>
        <w:spacing w:after="80" w:line="280"/>
      </w:pPr>
      <w:r>
        <w:t xml:space="preserve">No Tribal match or cost share has been identified.</w:t>
      </w:r>
    </w:p>
    <w:p>
      <w:pPr>
        <w:pStyle w:val="ListParagraph"/>
        <w:numPr>
          <w:ilvl w:val="0"/>
          <w:numId w:val="2"/>
        </w:numPr>
        <w:spacing w:after="80" w:line="280"/>
      </w:pPr>
      <w:r>
        <w:t xml:space="preserve">Tribal staff use existing program contacts (food bank, family services, social services, community services) to make sure eligible households know about delivery day.</w:t>
      </w:r>
    </w:p>
    <w:p>
      <w:pPr>
        <w:pStyle w:val="ListParagraph"/>
        <w:numPr>
          <w:ilvl w:val="0"/>
          <w:numId w:val="2"/>
        </w:numPr>
        <w:spacing w:after="80" w:line="280"/>
      </w:pPr>
      <w:r>
        <w:t xml:space="preserve">The Tribe stays in the driver’s seat on how food boxes are distributed within its community.</w:t>
      </w:r>
    </w:p>
    <w:p>
      <w:pPr>
        <w:pStyle w:val="Heading2"/>
        <w:spacing w:after="100" w:before="200"/>
      </w:pPr>
      <w:r>
        <w:rPr>
          <w:b/>
          <w:bCs/>
          <w:sz w:val="26"/>
          <w:szCs w:val="26"/>
        </w:rPr>
        <w:t xml:space="preserve">What SPIPA is asking Council to consider</w:t>
      </w:r>
    </w:p>
    <w:p>
      <w:pPr>
        <w:pStyle w:val="ListParagraph"/>
        <w:numPr>
          <w:ilvl w:val="0"/>
          <w:numId w:val="2"/>
        </w:numPr>
        <w:spacing w:after="80" w:line="280"/>
      </w:pPr>
      <w:r>
        <w:t xml:space="preserve">Authorize SPIPA, through a Council resolution or letter of support, to apply on the Tribe’s behalf and to deliver food boxes under this grant.</w:t>
      </w:r>
    </w:p>
    <w:p>
      <w:pPr>
        <w:pStyle w:val="ListParagraph"/>
        <w:numPr>
          <w:ilvl w:val="0"/>
          <w:numId w:val="2"/>
        </w:numPr>
        <w:spacing w:after="80" w:line="280"/>
      </w:pPr>
      <w:r>
        <w:t xml:space="preserve">Confirm that the Tribe is not separately pursuing the same funding for this round (no-compete).</w:t>
      </w:r>
    </w:p>
    <w:p>
      <w:pPr>
        <w:pStyle w:val="ListParagraph"/>
        <w:numPr>
          <w:ilvl w:val="0"/>
          <w:numId w:val="2"/>
        </w:numPr>
        <w:spacing w:after="80" w:line="280"/>
      </w:pPr>
      <w:r>
        <w:t xml:space="preserve">Identify a Tribal point of contact for distribution coordination and household awareness.</w:t>
      </w:r>
    </w:p>
    <w:p>
      <w:pPr>
        <w:pStyle w:val="Heading2"/>
        <w:spacing w:after="100" w:before="200"/>
      </w:pPr>
      <w:r>
        <w:rPr>
          <w:b/>
          <w:bCs/>
          <w:sz w:val="26"/>
          <w:szCs w:val="26"/>
        </w:rPr>
        <w:t xml:space="preserve">Risk and accountability</w:t>
      </w:r>
    </w:p>
    <w:p>
      <w:pPr>
        <w:spacing w:after="140" w:line="300"/>
      </w:pPr>
      <w:r>
        <w:t xml:space="preserve">The grant is reimbursement-based. SPIPA fronts costs and is paid back after documentation is accepted. SPIPA carries the cash-flow and compliance risk, not the Tribe. SPIPA does not begin spending until the agreement is fully executed.</w:t>
      </w:r>
    </w:p>
    <w:p>
      <w:pPr>
        <w:pStyle w:val="Heading2"/>
        <w:spacing w:after="100" w:before="200"/>
      </w:pPr>
      <w:r>
        <w:rPr>
          <w:b/>
          <w:bCs/>
          <w:sz w:val="26"/>
          <w:szCs w:val="26"/>
        </w:rPr>
        <w:t xml:space="preserve">Key figures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r>
              <w:rPr>
                <w:b/>
                <w:bCs/>
              </w:rPr>
              <w:t xml:space="preserve">Program</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WSDA Food Assistance Resiliency Grant</w:t>
            </w:r>
          </w:p>
        </w:tc>
      </w:tr>
      <w:tr>
        <w:tc>
          <w:tcPr>
            <w:tcW w:type="dxa" w:w="312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r>
              <w:rPr>
                <w:b/>
                <w:bCs/>
              </w:rPr>
              <w:t xml:space="preserve">Working request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$200,000</w:t>
            </w:r>
          </w:p>
        </w:tc>
      </w:tr>
      <w:tr>
        <w:tc>
          <w:tcPr>
            <w:tcW w:type="dxa" w:w="312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r>
              <w:rPr>
                <w:b/>
                <w:bCs/>
              </w:rPr>
              <w:t xml:space="preserve">Performance period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July 1, 2026 – June 30, 2027</w:t>
            </w:r>
          </w:p>
        </w:tc>
      </w:tr>
      <w:tr>
        <w:tc>
          <w:tcPr>
            <w:tcW w:type="dxa" w:w="312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r>
              <w:rPr>
                <w:b/>
                <w:bCs/>
              </w:rPr>
              <w:t xml:space="preserve">Match</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None identified</w:t>
            </w:r>
          </w:p>
        </w:tc>
      </w:tr>
      <w:tr>
        <w:tc>
          <w:tcPr>
            <w:tcW w:type="dxa" w:w="312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r>
              <w:rPr>
                <w:b/>
                <w:bCs/>
              </w:rPr>
              <w:t xml:space="preserve">Application deadline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May 22, 2026</w:t>
            </w:r>
          </w:p>
        </w:tc>
      </w:tr>
      <w:tr>
        <w:tc>
          <w:tcPr>
            <w:tcW w:type="dxa" w:w="312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r>
              <w:rPr>
                <w:b/>
                <w:bCs/>
              </w:rPr>
              <w:t xml:space="preserve">Status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Initial draft entered and saved in the WSDA webform; not submitted.</w:t>
            </w:r>
          </w:p>
        </w:tc>
      </w:tr>
    </w:tbl>
    <w:p>
      <w:pPr>
        <w:spacing w:after="120"/>
      </w:pPr>
    </w:p>
    <w:p>
      <w:pPr>
        <w:pStyle w:val="Heading2"/>
        <w:spacing w:after="100" w:before="200"/>
      </w:pPr>
      <w:r>
        <w:rPr>
          <w:b/>
          <w:bCs/>
          <w:sz w:val="26"/>
          <w:szCs w:val="26"/>
        </w:rPr>
        <w:t xml:space="preserve">Where the application stands now</w:t>
      </w:r>
    </w:p>
    <w:p>
      <w:pPr>
        <w:spacing w:after="140" w:line="300"/>
      </w:pPr>
      <w:r>
        <w:t xml:space="preserve">Working draft v3 is the reference of record. All required webform pages and narrative responses are entered and saved: project summary, need, collaboration, client access and barriers, multi-location operations, major activities and timeline, general budget, and internal monitoring. The Budget Detail page is filled in. Acknowledgements are reviewed.</w:t>
      </w:r>
    </w:p>
    <w:p>
      <w:pPr>
        <w:pStyle w:val="ListParagraph"/>
        <w:numPr>
          <w:ilvl w:val="0"/>
          <w:numId w:val="2"/>
        </w:numPr>
        <w:spacing w:after="80" w:line="280"/>
      </w:pPr>
      <w:r>
        <w:t xml:space="preserve">Open: internal review, Tribal coordination, Leadership Team review, and Board approval.</w:t>
      </w:r>
    </w:p>
    <w:p>
      <w:pPr>
        <w:pStyle w:val="ListParagraph"/>
        <w:numPr>
          <w:ilvl w:val="0"/>
          <w:numId w:val="2"/>
        </w:numPr>
        <w:spacing w:after="80" w:line="280"/>
      </w:pPr>
      <w:r>
        <w:t xml:space="preserve">Open: SPIPA Fiscal written approval of the final budget; reconciliation of small Q9 / Budget Detail figure variances.</w:t>
      </w:r>
    </w:p>
    <w:p>
      <w:pPr>
        <w:pStyle w:val="ListParagraph"/>
        <w:numPr>
          <w:ilvl w:val="0"/>
          <w:numId w:val="2"/>
        </w:numPr>
        <w:spacing w:after="80" w:line="280"/>
      </w:pPr>
      <w:r>
        <w:t xml:space="preserve">Open: Council resolutions or letters of support and no-compete confirmations from each member Tribe.</w:t>
      </w:r>
    </w:p>
    <w:p>
      <w:pPr>
        <w:pStyle w:val="ListParagraph"/>
        <w:numPr>
          <w:ilvl w:val="0"/>
          <w:numId w:val="2"/>
        </w:numPr>
        <w:spacing w:after="80" w:line="280"/>
      </w:pPr>
      <w:r>
        <w:t xml:space="preserve">Open: confirm SOS registration, EIN, and SWV# entered on the webform; confirm insurance and SWV registration current.</w:t>
      </w:r>
    </w:p>
    <w:p>
      <w:pPr>
        <w:pStyle w:val="Heading2"/>
        <w:spacing w:after="100" w:before="200"/>
      </w:pPr>
      <w:r>
        <w:rPr>
          <w:b/>
          <w:bCs/>
          <w:sz w:val="26"/>
          <w:szCs w:val="26"/>
        </w:rPr>
        <w:t xml:space="preserve">Contact</w:t>
      </w:r>
    </w:p>
    <w:p>
      <w:pPr>
        <w:spacing w:after="140" w:line="300"/>
      </w:pPr>
      <w:r>
        <w:t xml:space="preserve">Joseph Reyes, Planning/Development Director, South Puget Intertribal Planning Agency.</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sz w:val="32"/>
      <w:szCs w:val="32"/>
    </w:rPr>
  </w:style>
  <w:style w:type="paragraph" w:styleId="Heading2">
    <w:name w:val="Heading 2"/>
    <w:basedOn w:val="Normal"/>
    <w:next w:val="Normal"/>
    <w:qFormat/>
    <w:pPr>
      <w:spacing w:after="100" w:before="20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852B5C37664CB94427EC625BF512" ma:contentTypeVersion="14" ma:contentTypeDescription="Create a new document." ma:contentTypeScope="" ma:versionID="d469a2765f1c08fc1a94f676c7fa11d0">
  <xsd:schema xmlns:xsd="http://www.w3.org/2001/XMLSchema" xmlns:xs="http://www.w3.org/2001/XMLSchema" xmlns:p="http://schemas.microsoft.com/office/2006/metadata/properties" xmlns:ns2="8b189914-738b-4e44-b188-18f103c56ee1" xmlns:ns3="7b06613b-1ce7-4e5a-b7e6-9baa5288ae30" targetNamespace="http://schemas.microsoft.com/office/2006/metadata/properties" ma:root="true" ma:fieldsID="627b1977a9f9aa1441d15f82bf735d7c" ns2:_="" ns3:_="">
    <xsd:import namespace="8b189914-738b-4e44-b188-18f103c56ee1"/>
    <xsd:import namespace="7b06613b-1ce7-4e5a-b7e6-9baa5288ae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89914-738b-4e44-b188-18f103c56e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04372a8-c232-43b9-ae97-32898c634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6613b-1ce7-4e5a-b7e6-9baa5288ae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b92a7b-e9b9-465c-a875-3d708a4e9afa}" ma:internalName="TaxCatchAll" ma:showField="CatchAllData" ma:web="7b06613b-1ce7-4e5a-b7e6-9baa5288ae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06613b-1ce7-4e5a-b7e6-9baa5288ae30" xsi:nil="true"/>
    <lcf76f155ced4ddcb4097134ff3c332f xmlns="8b189914-738b-4e44-b188-18f103c56e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9158ED-D55F-42C6-8965-BF63E21065C4}"/>
</file>

<file path=customXml/itemProps2.xml><?xml version="1.0" encoding="utf-8"?>
<ds:datastoreItem xmlns:ds="http://schemas.openxmlformats.org/officeDocument/2006/customXml" ds:itemID="{07180A72-1C1B-45D6-BF4D-3FF1F4587997}"/>
</file>

<file path=customXml/itemProps3.xml><?xml version="1.0" encoding="utf-8"?>
<ds:datastoreItem xmlns:ds="http://schemas.openxmlformats.org/officeDocument/2006/customXml" ds:itemID="{04D52C17-7916-477F-A8B7-6F595089A12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2026-04-27T19:10:55Z</dcterms:created>
  <dcterms:modified xsi:type="dcterms:W3CDTF">2026-04-27T19:10:55Z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0x0101009102852B5C37664CB94427EC625BF512</vt:lpwstr>
  </property>
</Properties>
</file>