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C8907" w14:textId="77777777" w:rsidR="00215CB5" w:rsidRDefault="00000000">
      <w:pPr>
        <w:spacing w:after="60"/>
        <w:jc w:val="center"/>
      </w:pPr>
      <w:r>
        <w:rPr>
          <w:i/>
          <w:iCs/>
        </w:rPr>
        <w:t>South Puget Intertribal Planning Agency</w:t>
      </w:r>
    </w:p>
    <w:p w14:paraId="06317E94" w14:textId="77777777" w:rsidR="00215CB5" w:rsidRDefault="00000000">
      <w:pPr>
        <w:spacing w:after="240"/>
        <w:jc w:val="center"/>
      </w:pPr>
      <w:r>
        <w:rPr>
          <w:b/>
          <w:bCs/>
          <w:sz w:val="28"/>
          <w:szCs w:val="28"/>
        </w:rPr>
        <w:t>Grant Abstract — WSDA Food Assistance Resiliency Grant (FY 2026–2027)</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15CB5" w14:paraId="0DFE1C35" w14:textId="77777777">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FFF7E6"/>
            <w:tcMar>
              <w:top w:w="100" w:type="dxa"/>
              <w:left w:w="140" w:type="dxa"/>
              <w:bottom w:w="100" w:type="dxa"/>
              <w:right w:w="140" w:type="dxa"/>
            </w:tcMar>
          </w:tcPr>
          <w:p w14:paraId="33D1AD9D" w14:textId="2627771F" w:rsidR="00215CB5" w:rsidRDefault="00000000">
            <w:r>
              <w:rPr>
                <w:b/>
                <w:bCs/>
              </w:rPr>
              <w:t xml:space="preserve">Purpose of this abstract. </w:t>
            </w:r>
            <w:r>
              <w:t xml:space="preserve">Summarizes SPIPA’s initial draft application for the WSDA Food Assistance Resiliency Grant (FY 2026–2027). </w:t>
            </w:r>
            <w:r w:rsidR="00757617">
              <w:t>T</w:t>
            </w:r>
            <w:r>
              <w:t>he application has not been submitted. Use this abstract to support internal review, Tribal coordination, and Leadership Team and Board approval ahead of submission.</w:t>
            </w:r>
          </w:p>
        </w:tc>
      </w:tr>
    </w:tbl>
    <w:p w14:paraId="7C5E910B" w14:textId="77777777" w:rsidR="00215CB5" w:rsidRDefault="00000000">
      <w:pPr>
        <w:pStyle w:val="Heading1"/>
      </w:pPr>
      <w:r>
        <w:t>Abstract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215CB5" w14:paraId="45F371F5" w14:textId="77777777">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415D8873" w14:textId="77777777" w:rsidR="00215CB5" w:rsidRDefault="00000000">
            <w:r>
              <w:rPr>
                <w:b/>
                <w:bCs/>
              </w:rPr>
              <w:t>Program</w:t>
            </w:r>
          </w:p>
        </w:tc>
        <w:tc>
          <w:tcPr>
            <w:tcW w:w="6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C488A6E" w14:textId="77777777" w:rsidR="00215CB5" w:rsidRDefault="00000000">
            <w:r>
              <w:t>WSDA Food Assistance Resiliency Grant (FY 2026–2027)</w:t>
            </w:r>
          </w:p>
        </w:tc>
      </w:tr>
      <w:tr w:rsidR="00215CB5" w14:paraId="423D4ACA" w14:textId="77777777">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27678F3C" w14:textId="77777777" w:rsidR="00215CB5" w:rsidRDefault="00000000">
            <w:r>
              <w:rPr>
                <w:b/>
                <w:bCs/>
              </w:rPr>
              <w:t>Applicant</w:t>
            </w:r>
          </w:p>
        </w:tc>
        <w:tc>
          <w:tcPr>
            <w:tcW w:w="6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AEEB25C" w14:textId="77777777" w:rsidR="00215CB5" w:rsidRDefault="00000000">
            <w:r>
              <w:t>South Puget Intertribal Planning Agency (SPIPA)</w:t>
            </w:r>
          </w:p>
        </w:tc>
      </w:tr>
      <w:tr w:rsidR="00215CB5" w14:paraId="6B1EBF37" w14:textId="77777777">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446AF948" w14:textId="77777777" w:rsidR="00215CB5" w:rsidRDefault="00000000">
            <w:r>
              <w:rPr>
                <w:b/>
                <w:bCs/>
              </w:rPr>
              <w:t>Member Tribes served</w:t>
            </w:r>
          </w:p>
        </w:tc>
        <w:tc>
          <w:tcPr>
            <w:tcW w:w="6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6EA0716" w14:textId="77777777" w:rsidR="00215CB5" w:rsidRDefault="00000000">
            <w:r>
              <w:t>Chehalis, Nisqually, Shoalwater Bay, Skokomish, Squaxin Island</w:t>
            </w:r>
          </w:p>
        </w:tc>
      </w:tr>
      <w:tr w:rsidR="00215CB5" w14:paraId="1CBDFE6F" w14:textId="77777777">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159A9439" w14:textId="77777777" w:rsidR="00215CB5" w:rsidRDefault="00000000">
            <w:r>
              <w:rPr>
                <w:b/>
                <w:bCs/>
              </w:rPr>
              <w:t>Project title (working)</w:t>
            </w:r>
          </w:p>
        </w:tc>
        <w:tc>
          <w:tcPr>
            <w:tcW w:w="6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6351044" w14:textId="77777777" w:rsidR="00215CB5" w:rsidRDefault="00000000">
            <w:r>
              <w:t>SPIPA Food Box Program: A Consortium Approach to Tribal Food Access</w:t>
            </w:r>
          </w:p>
        </w:tc>
      </w:tr>
      <w:tr w:rsidR="00215CB5" w14:paraId="08FA2972" w14:textId="77777777">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3FD6BA39" w14:textId="77777777" w:rsidR="00215CB5" w:rsidRDefault="00000000">
            <w:r>
              <w:rPr>
                <w:b/>
                <w:bCs/>
              </w:rPr>
              <w:t>Total request (working)</w:t>
            </w:r>
          </w:p>
        </w:tc>
        <w:tc>
          <w:tcPr>
            <w:tcW w:w="6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BB2E4A4" w14:textId="77777777" w:rsidR="00215CB5" w:rsidRDefault="00000000">
            <w:r>
              <w:t>$200,000</w:t>
            </w:r>
          </w:p>
        </w:tc>
      </w:tr>
      <w:tr w:rsidR="00215CB5" w14:paraId="55F8D9CE" w14:textId="77777777">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0014A0EE" w14:textId="77777777" w:rsidR="00215CB5" w:rsidRDefault="00000000">
            <w:r>
              <w:rPr>
                <w:b/>
                <w:bCs/>
              </w:rPr>
              <w:t>Performance period</w:t>
            </w:r>
          </w:p>
        </w:tc>
        <w:tc>
          <w:tcPr>
            <w:tcW w:w="6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26E8BE0" w14:textId="77777777" w:rsidR="00215CB5" w:rsidRDefault="00000000">
            <w:r>
              <w:t>July 1, 2026 – June 30, 2027</w:t>
            </w:r>
          </w:p>
        </w:tc>
      </w:tr>
      <w:tr w:rsidR="00215CB5" w14:paraId="2E20725F" w14:textId="77777777">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46C89B9D" w14:textId="77777777" w:rsidR="00215CB5" w:rsidRDefault="00000000">
            <w:r>
              <w:rPr>
                <w:b/>
                <w:bCs/>
              </w:rPr>
              <w:t>Reference award</w:t>
            </w:r>
          </w:p>
        </w:tc>
        <w:tc>
          <w:tcPr>
            <w:tcW w:w="6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9069F78" w14:textId="77777777" w:rsidR="00215CB5" w:rsidRDefault="00000000">
            <w:r>
              <w:t>K6207 — $200,000 (7/1/2025 – 7/31/2026)</w:t>
            </w:r>
          </w:p>
        </w:tc>
      </w:tr>
      <w:tr w:rsidR="00215CB5" w14:paraId="7FF4C6C2" w14:textId="77777777">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2DD06DB2" w14:textId="77777777" w:rsidR="00215CB5" w:rsidRDefault="00000000">
            <w:r>
              <w:rPr>
                <w:b/>
                <w:bCs/>
              </w:rPr>
              <w:t>Match</w:t>
            </w:r>
          </w:p>
        </w:tc>
        <w:tc>
          <w:tcPr>
            <w:tcW w:w="6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0D0E92" w14:textId="77777777" w:rsidR="00215CB5" w:rsidRDefault="00000000">
            <w:r>
              <w:t>None identified</w:t>
            </w:r>
          </w:p>
        </w:tc>
      </w:tr>
      <w:tr w:rsidR="00215CB5" w14:paraId="115CAC92" w14:textId="77777777">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6C7A0ADE" w14:textId="77777777" w:rsidR="00215CB5" w:rsidRDefault="00000000">
            <w:r>
              <w:rPr>
                <w:b/>
                <w:bCs/>
              </w:rPr>
              <w:t>Indirect</w:t>
            </w:r>
          </w:p>
        </w:tc>
        <w:tc>
          <w:tcPr>
            <w:tcW w:w="6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0FFD35F" w14:textId="77777777" w:rsidR="00215CB5" w:rsidRDefault="00000000">
            <w:r>
              <w:t>15%, capped</w:t>
            </w:r>
          </w:p>
        </w:tc>
      </w:tr>
      <w:tr w:rsidR="00215CB5" w14:paraId="075310F1" w14:textId="77777777">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2B551456" w14:textId="77777777" w:rsidR="00215CB5" w:rsidRDefault="00000000">
            <w:r>
              <w:rPr>
                <w:b/>
                <w:bCs/>
              </w:rPr>
              <w:t>Application deadline</w:t>
            </w:r>
          </w:p>
        </w:tc>
        <w:tc>
          <w:tcPr>
            <w:tcW w:w="6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9FA0307" w14:textId="77777777" w:rsidR="00215CB5" w:rsidRDefault="00000000">
            <w:r>
              <w:t>May 22, 2026</w:t>
            </w:r>
          </w:p>
        </w:tc>
      </w:tr>
      <w:tr w:rsidR="00215CB5" w14:paraId="1D548370" w14:textId="77777777">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18BDA886" w14:textId="77777777" w:rsidR="00215CB5" w:rsidRDefault="00000000">
            <w:r>
              <w:rPr>
                <w:b/>
                <w:bCs/>
              </w:rPr>
              <w:t>Status</w:t>
            </w:r>
          </w:p>
        </w:tc>
        <w:tc>
          <w:tcPr>
            <w:tcW w:w="6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EF6CE48" w14:textId="77777777" w:rsidR="00215CB5" w:rsidRDefault="00000000">
            <w:r>
              <w:t>Initial draft. Responses entered and saved in the WSDA webform; not submitted.</w:t>
            </w:r>
          </w:p>
        </w:tc>
      </w:tr>
    </w:tbl>
    <w:p w14:paraId="4E432D03" w14:textId="77777777" w:rsidR="00215CB5" w:rsidRDefault="00215CB5">
      <w:pPr>
        <w:spacing w:after="120"/>
      </w:pPr>
    </w:p>
    <w:p w14:paraId="0222B751" w14:textId="77777777" w:rsidR="00215CB5" w:rsidRDefault="00000000">
      <w:pPr>
        <w:pStyle w:val="Heading2"/>
      </w:pPr>
      <w:r>
        <w:t>What SPIPA is proposing</w:t>
      </w:r>
    </w:p>
    <w:p w14:paraId="08DF4F22" w14:textId="77777777" w:rsidR="00215CB5" w:rsidRDefault="00000000">
      <w:pPr>
        <w:spacing w:after="140" w:line="300" w:lineRule="auto"/>
      </w:pPr>
      <w:r>
        <w:t>SPIPA will apply as the lead applicant and administer the award on behalf of consortium Tribes. SPIPA purchases food, assembles food boxes at its warehouse on the Nisqually Reservation, and distributes boxes to member Tribes for distribution to Tribal households. The model is already in operation under reference award K6207 and the renewal continues the same scope and structure.</w:t>
      </w:r>
    </w:p>
    <w:p w14:paraId="79EB8160" w14:textId="77777777" w:rsidR="00215CB5" w:rsidRDefault="00000000">
      <w:pPr>
        <w:pStyle w:val="Heading2"/>
      </w:pPr>
      <w:r>
        <w:t>How the program works on the ground</w:t>
      </w:r>
    </w:p>
    <w:p w14:paraId="5ACF2F48" w14:textId="77777777" w:rsidR="00215CB5" w:rsidRDefault="00000000">
      <w:pPr>
        <w:spacing w:after="140" w:line="300" w:lineRule="auto"/>
      </w:pPr>
      <w:r>
        <w:t xml:space="preserve">The Resiliency food box rides on SPIPA’s existing FDPIR and diaper distribution cycle. SPIPA assembles boxes at the Nisqually warehouse and delivers them to each Tribe on the same monthly run that already carries FDPIR commodities and diapers. Households come to FDPIR/diaper day at their Tribe and pick up their food box alongside their FDPIR food order and </w:t>
      </w:r>
      <w:r>
        <w:lastRenderedPageBreak/>
        <w:t>diapers. There is no separate eligibility step for the food box and no separate trip for the household.</w:t>
      </w:r>
    </w:p>
    <w:p w14:paraId="5955D1F8" w14:textId="77777777" w:rsidR="00215CB5" w:rsidRDefault="00000000">
      <w:pPr>
        <w:spacing w:after="140" w:line="300" w:lineRule="auto"/>
      </w:pPr>
      <w:r>
        <w:t>Each Tribe communicates the delivery date through its own program channels — Squaxin Island Food Bank, Tuwaduq Family Services at Skokomish, Nisqually Community Services, Chehalis Social Services, and Shoalwater Bay Social Services — so eligible households know when to come. Tribes also identify households outside FDPIR who should receive a box, and households that are homebound or otherwise need a home delivery; SPIPA uses smaller vehicles where available to complete those runs.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215CB5" w14:paraId="774ECF93" w14:textId="77777777">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4C64F7C0" w14:textId="77777777" w:rsidR="00215CB5" w:rsidRDefault="00000000">
            <w:r>
              <w:rPr>
                <w:b/>
                <w:bCs/>
              </w:rPr>
              <w:t>Tribe</w:t>
            </w:r>
          </w:p>
        </w:tc>
        <w:tc>
          <w:tcPr>
            <w:tcW w:w="624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588166BA" w14:textId="77777777" w:rsidR="00215CB5" w:rsidRDefault="00000000">
            <w:r>
              <w:rPr>
                <w:b/>
                <w:bCs/>
              </w:rPr>
              <w:t>Communication channel for delivery awareness</w:t>
            </w:r>
          </w:p>
        </w:tc>
      </w:tr>
      <w:tr w:rsidR="00215CB5" w14:paraId="658D2E9F" w14:textId="77777777">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257E2AB9" w14:textId="77777777" w:rsidR="00215CB5" w:rsidRDefault="00000000">
            <w:r>
              <w:rPr>
                <w:b/>
                <w:bCs/>
              </w:rPr>
              <w:t>Squaxin Island</w:t>
            </w:r>
          </w:p>
        </w:tc>
        <w:tc>
          <w:tcPr>
            <w:tcW w:w="6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439B978" w14:textId="77777777" w:rsidR="00215CB5" w:rsidRDefault="00000000">
            <w:r>
              <w:t>Squaxin Island Food Bank</w:t>
            </w:r>
          </w:p>
        </w:tc>
      </w:tr>
      <w:tr w:rsidR="00215CB5" w14:paraId="651A4DA2" w14:textId="77777777">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744277AE" w14:textId="77777777" w:rsidR="00215CB5" w:rsidRDefault="00000000">
            <w:r>
              <w:rPr>
                <w:b/>
                <w:bCs/>
              </w:rPr>
              <w:t>Skokomish</w:t>
            </w:r>
          </w:p>
        </w:tc>
        <w:tc>
          <w:tcPr>
            <w:tcW w:w="6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4F639F5" w14:textId="77777777" w:rsidR="00215CB5" w:rsidRDefault="00000000">
            <w:r>
              <w:t>Tuwaduq Family Services (also identifies homebound households)</w:t>
            </w:r>
          </w:p>
        </w:tc>
      </w:tr>
      <w:tr w:rsidR="00215CB5" w14:paraId="5E49EDE8" w14:textId="77777777">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3D2133B1" w14:textId="77777777" w:rsidR="00215CB5" w:rsidRDefault="00000000">
            <w:r>
              <w:rPr>
                <w:b/>
                <w:bCs/>
              </w:rPr>
              <w:t>Nisqually</w:t>
            </w:r>
          </w:p>
        </w:tc>
        <w:tc>
          <w:tcPr>
            <w:tcW w:w="6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DC8E019" w14:textId="77777777" w:rsidR="00215CB5" w:rsidRDefault="00000000">
            <w:r>
              <w:t>Community Services Department (folded into broader social service contact)</w:t>
            </w:r>
          </w:p>
        </w:tc>
      </w:tr>
      <w:tr w:rsidR="00215CB5" w14:paraId="4DC96A67" w14:textId="77777777">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5538BA6B" w14:textId="77777777" w:rsidR="00215CB5" w:rsidRDefault="00000000">
            <w:r>
              <w:rPr>
                <w:b/>
                <w:bCs/>
              </w:rPr>
              <w:t>Chehalis</w:t>
            </w:r>
          </w:p>
        </w:tc>
        <w:tc>
          <w:tcPr>
            <w:tcW w:w="6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C546C3D" w14:textId="77777777" w:rsidR="00215CB5" w:rsidRDefault="00000000">
            <w:r>
              <w:t>Social Services (already in regular contact with economic, in-home, and elder-care clients)</w:t>
            </w:r>
          </w:p>
        </w:tc>
      </w:tr>
      <w:tr w:rsidR="00215CB5" w14:paraId="1F442A7B" w14:textId="77777777">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4303D034" w14:textId="77777777" w:rsidR="00215CB5" w:rsidRDefault="00000000">
            <w:r>
              <w:rPr>
                <w:b/>
                <w:bCs/>
              </w:rPr>
              <w:t>Shoalwater Bay</w:t>
            </w:r>
          </w:p>
        </w:tc>
        <w:tc>
          <w:tcPr>
            <w:tcW w:w="6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4572C1E" w14:textId="77777777" w:rsidR="00215CB5" w:rsidRDefault="00000000">
            <w:r>
              <w:t>Social Services</w:t>
            </w:r>
          </w:p>
        </w:tc>
      </w:tr>
    </w:tbl>
    <w:p w14:paraId="151E7146" w14:textId="77777777" w:rsidR="00215CB5" w:rsidRDefault="00215CB5">
      <w:pPr>
        <w:spacing w:after="120"/>
      </w:pPr>
    </w:p>
    <w:p w14:paraId="4BEC53EF" w14:textId="77777777" w:rsidR="00215CB5" w:rsidRDefault="00000000">
      <w:pPr>
        <w:pStyle w:val="Heading2"/>
      </w:pPr>
      <w:r>
        <w:t>Who is served</w:t>
      </w:r>
    </w:p>
    <w:p w14:paraId="445CD8EE" w14:textId="77777777" w:rsidR="00215CB5" w:rsidRDefault="00000000">
      <w:pPr>
        <w:spacing w:after="140" w:line="300" w:lineRule="auto"/>
      </w:pPr>
      <w:r>
        <w:t>Tribal households across the SPIPA consortium who face food insecurity, high food costs, transportation barriers, or inconsistent access to reliable food supports. Eligibility for the FDPIR-linked households is already established under federal standards. Households outside FDPIR are reached through each Tribe’s social service or family service contacts. Homebound households are reached through Tribal-led prioritization and SPIPA home delivery.</w:t>
      </w:r>
    </w:p>
    <w:p w14:paraId="38FB0BE3" w14:textId="77777777" w:rsidR="00215CB5" w:rsidRDefault="00000000">
      <w:pPr>
        <w:pStyle w:val="Heading2"/>
      </w:pPr>
      <w:r>
        <w:t>Working budget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60"/>
        <w:gridCol w:w="3900"/>
      </w:tblGrid>
      <w:tr w:rsidR="00215CB5" w14:paraId="45A87B48" w14:textId="77777777">
        <w:tblPrEx>
          <w:tblCellMar>
            <w:top w:w="0" w:type="dxa"/>
            <w:bottom w:w="0" w:type="dxa"/>
          </w:tblCellMar>
        </w:tblPrEx>
        <w:tc>
          <w:tcPr>
            <w:tcW w:w="546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1203CCBF" w14:textId="77777777" w:rsidR="00215CB5" w:rsidRDefault="00000000">
            <w:r>
              <w:rPr>
                <w:b/>
                <w:bCs/>
              </w:rPr>
              <w:t>Category</w:t>
            </w:r>
          </w:p>
        </w:tc>
        <w:tc>
          <w:tcPr>
            <w:tcW w:w="390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36D28797" w14:textId="77777777" w:rsidR="00215CB5" w:rsidRDefault="00000000">
            <w:pPr>
              <w:jc w:val="right"/>
            </w:pPr>
            <w:r>
              <w:rPr>
                <w:b/>
                <w:bCs/>
              </w:rPr>
              <w:t>Amount</w:t>
            </w:r>
          </w:p>
        </w:tc>
      </w:tr>
      <w:tr w:rsidR="00215CB5" w14:paraId="1A315C0B" w14:textId="77777777">
        <w:tblPrEx>
          <w:tblCellMar>
            <w:top w:w="0" w:type="dxa"/>
            <w:bottom w:w="0" w:type="dxa"/>
          </w:tblCellMar>
        </w:tblPrEx>
        <w:tc>
          <w:tcPr>
            <w:tcW w:w="546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6B8E414F" w14:textId="77777777" w:rsidR="00215CB5" w:rsidRDefault="00000000">
            <w:r>
              <w:rPr>
                <w:b/>
                <w:bCs/>
              </w:rPr>
              <w:t>Food Purchases</w:t>
            </w:r>
          </w:p>
        </w:tc>
        <w:tc>
          <w:tcPr>
            <w:tcW w:w="39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B6C70D4" w14:textId="77777777" w:rsidR="00215CB5" w:rsidRDefault="00000000">
            <w:r>
              <w:t>$169,413.04</w:t>
            </w:r>
          </w:p>
        </w:tc>
      </w:tr>
      <w:tr w:rsidR="00215CB5" w14:paraId="65B701A3" w14:textId="77777777">
        <w:tblPrEx>
          <w:tblCellMar>
            <w:top w:w="0" w:type="dxa"/>
            <w:bottom w:w="0" w:type="dxa"/>
          </w:tblCellMar>
        </w:tblPrEx>
        <w:tc>
          <w:tcPr>
            <w:tcW w:w="546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72A4E277" w14:textId="77777777" w:rsidR="00215CB5" w:rsidRDefault="00000000">
            <w:r>
              <w:rPr>
                <w:b/>
                <w:bCs/>
              </w:rPr>
              <w:t>Operations</w:t>
            </w:r>
          </w:p>
        </w:tc>
        <w:tc>
          <w:tcPr>
            <w:tcW w:w="39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A90F295" w14:textId="77777777" w:rsidR="00215CB5" w:rsidRDefault="00000000">
            <w:r>
              <w:t>$4,500.00</w:t>
            </w:r>
          </w:p>
        </w:tc>
      </w:tr>
      <w:tr w:rsidR="00215CB5" w14:paraId="680D1704" w14:textId="77777777">
        <w:tblPrEx>
          <w:tblCellMar>
            <w:top w:w="0" w:type="dxa"/>
            <w:bottom w:w="0" w:type="dxa"/>
          </w:tblCellMar>
        </w:tblPrEx>
        <w:tc>
          <w:tcPr>
            <w:tcW w:w="546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38C6BD4E" w14:textId="77777777" w:rsidR="00215CB5" w:rsidRDefault="00000000">
            <w:r>
              <w:rPr>
                <w:b/>
                <w:bCs/>
              </w:rPr>
              <w:t>Staff/Personnel</w:t>
            </w:r>
          </w:p>
        </w:tc>
        <w:tc>
          <w:tcPr>
            <w:tcW w:w="39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B59332D" w14:textId="77777777" w:rsidR="00215CB5" w:rsidRDefault="00000000">
            <w:r>
              <w:t>$0</w:t>
            </w:r>
          </w:p>
        </w:tc>
      </w:tr>
      <w:tr w:rsidR="00215CB5" w14:paraId="2BDE3170" w14:textId="77777777">
        <w:tblPrEx>
          <w:tblCellMar>
            <w:top w:w="0" w:type="dxa"/>
            <w:bottom w:w="0" w:type="dxa"/>
          </w:tblCellMar>
        </w:tblPrEx>
        <w:tc>
          <w:tcPr>
            <w:tcW w:w="546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5938F434" w14:textId="77777777" w:rsidR="00215CB5" w:rsidRDefault="00000000">
            <w:r>
              <w:rPr>
                <w:b/>
                <w:bCs/>
              </w:rPr>
              <w:t>Pass-through / Contracted services</w:t>
            </w:r>
          </w:p>
        </w:tc>
        <w:tc>
          <w:tcPr>
            <w:tcW w:w="39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8FD637A" w14:textId="77777777" w:rsidR="00215CB5" w:rsidRDefault="00000000">
            <w:r>
              <w:t>$0</w:t>
            </w:r>
          </w:p>
        </w:tc>
      </w:tr>
      <w:tr w:rsidR="00215CB5" w14:paraId="78D2ACFC" w14:textId="77777777">
        <w:tblPrEx>
          <w:tblCellMar>
            <w:top w:w="0" w:type="dxa"/>
            <w:bottom w:w="0" w:type="dxa"/>
          </w:tblCellMar>
        </w:tblPrEx>
        <w:tc>
          <w:tcPr>
            <w:tcW w:w="546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061B61BE" w14:textId="77777777" w:rsidR="00215CB5" w:rsidRDefault="00000000">
            <w:r>
              <w:rPr>
                <w:b/>
                <w:bCs/>
              </w:rPr>
              <w:t>Equipment over $10,000</w:t>
            </w:r>
          </w:p>
        </w:tc>
        <w:tc>
          <w:tcPr>
            <w:tcW w:w="39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3817782" w14:textId="77777777" w:rsidR="00215CB5" w:rsidRDefault="00000000">
            <w:r>
              <w:t>$0</w:t>
            </w:r>
          </w:p>
        </w:tc>
      </w:tr>
      <w:tr w:rsidR="00215CB5" w14:paraId="35EB4233" w14:textId="77777777">
        <w:tblPrEx>
          <w:tblCellMar>
            <w:top w:w="0" w:type="dxa"/>
            <w:bottom w:w="0" w:type="dxa"/>
          </w:tblCellMar>
        </w:tblPrEx>
        <w:tc>
          <w:tcPr>
            <w:tcW w:w="546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45433BEE" w14:textId="77777777" w:rsidR="00215CB5" w:rsidRDefault="00000000">
            <w:r>
              <w:rPr>
                <w:b/>
                <w:bCs/>
              </w:rPr>
              <w:t>Direct Costs subtotal</w:t>
            </w:r>
          </w:p>
        </w:tc>
        <w:tc>
          <w:tcPr>
            <w:tcW w:w="39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F5EE105" w14:textId="77777777" w:rsidR="00215CB5" w:rsidRDefault="00000000">
            <w:r>
              <w:t>$173,913.04</w:t>
            </w:r>
          </w:p>
        </w:tc>
      </w:tr>
      <w:tr w:rsidR="00215CB5" w14:paraId="078FA588" w14:textId="77777777">
        <w:tblPrEx>
          <w:tblCellMar>
            <w:top w:w="0" w:type="dxa"/>
            <w:bottom w:w="0" w:type="dxa"/>
          </w:tblCellMar>
        </w:tblPrEx>
        <w:tc>
          <w:tcPr>
            <w:tcW w:w="546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1D578003" w14:textId="77777777" w:rsidR="00215CB5" w:rsidRDefault="00000000">
            <w:r>
              <w:rPr>
                <w:b/>
                <w:bCs/>
              </w:rPr>
              <w:t>Indirect (15% cap)</w:t>
            </w:r>
          </w:p>
        </w:tc>
        <w:tc>
          <w:tcPr>
            <w:tcW w:w="39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0D6B2A1" w14:textId="77777777" w:rsidR="00215CB5" w:rsidRDefault="00000000">
            <w:r>
              <w:t>$26,086.96</w:t>
            </w:r>
          </w:p>
        </w:tc>
      </w:tr>
      <w:tr w:rsidR="00215CB5" w14:paraId="4A5E147C" w14:textId="77777777">
        <w:tblPrEx>
          <w:tblCellMar>
            <w:top w:w="0" w:type="dxa"/>
            <w:bottom w:w="0" w:type="dxa"/>
          </w:tblCellMar>
        </w:tblPrEx>
        <w:tc>
          <w:tcPr>
            <w:tcW w:w="5460" w:type="dxa"/>
            <w:tcBorders>
              <w:top w:val="single" w:sz="4" w:space="0" w:color="BFBFBF"/>
              <w:left w:val="single" w:sz="4" w:space="0" w:color="BFBFBF"/>
              <w:bottom w:val="single" w:sz="4" w:space="0" w:color="BFBFBF"/>
              <w:right w:val="single" w:sz="4" w:space="0" w:color="BFBFBF"/>
            </w:tcBorders>
            <w:shd w:val="clear" w:color="auto" w:fill="D9E2F3"/>
            <w:tcMar>
              <w:top w:w="100" w:type="dxa"/>
              <w:left w:w="140" w:type="dxa"/>
              <w:bottom w:w="100" w:type="dxa"/>
              <w:right w:w="140" w:type="dxa"/>
            </w:tcMar>
          </w:tcPr>
          <w:p w14:paraId="2CCDFA1F" w14:textId="77777777" w:rsidR="00215CB5" w:rsidRDefault="00000000">
            <w:r>
              <w:rPr>
                <w:b/>
                <w:bCs/>
              </w:rPr>
              <w:t>Total</w:t>
            </w:r>
          </w:p>
        </w:tc>
        <w:tc>
          <w:tcPr>
            <w:tcW w:w="3900" w:type="dxa"/>
            <w:tcBorders>
              <w:top w:val="single" w:sz="4" w:space="0" w:color="BFBFBF"/>
              <w:left w:val="single" w:sz="4" w:space="0" w:color="BFBFBF"/>
              <w:bottom w:val="single" w:sz="4" w:space="0" w:color="BFBFBF"/>
              <w:right w:val="single" w:sz="4" w:space="0" w:color="BFBFBF"/>
            </w:tcBorders>
            <w:shd w:val="clear" w:color="auto" w:fill="D9E2F3"/>
            <w:tcMar>
              <w:top w:w="100" w:type="dxa"/>
              <w:left w:w="140" w:type="dxa"/>
              <w:bottom w:w="100" w:type="dxa"/>
              <w:right w:w="140" w:type="dxa"/>
            </w:tcMar>
          </w:tcPr>
          <w:p w14:paraId="75013513" w14:textId="77777777" w:rsidR="00215CB5" w:rsidRDefault="00000000">
            <w:pPr>
              <w:jc w:val="right"/>
            </w:pPr>
            <w:r>
              <w:rPr>
                <w:b/>
                <w:bCs/>
              </w:rPr>
              <w:t>$200,000.00</w:t>
            </w:r>
          </w:p>
        </w:tc>
      </w:tr>
      <w:tr w:rsidR="00215CB5" w14:paraId="1F4E56EC" w14:textId="77777777">
        <w:tblPrEx>
          <w:tblCellMar>
            <w:top w:w="0" w:type="dxa"/>
            <w:bottom w:w="0" w:type="dxa"/>
          </w:tblCellMar>
        </w:tblPrEx>
        <w:tc>
          <w:tcPr>
            <w:tcW w:w="5460" w:type="dxa"/>
            <w:tcBorders>
              <w:top w:val="single" w:sz="4" w:space="0" w:color="BFBFBF"/>
              <w:left w:val="single" w:sz="4" w:space="0" w:color="BFBFBF"/>
              <w:bottom w:val="single" w:sz="4" w:space="0" w:color="BFBFBF"/>
              <w:right w:val="single" w:sz="4" w:space="0" w:color="BFBFBF"/>
            </w:tcBorders>
            <w:shd w:val="clear" w:color="auto" w:fill="EFEFEF"/>
            <w:tcMar>
              <w:top w:w="100" w:type="dxa"/>
              <w:left w:w="140" w:type="dxa"/>
              <w:bottom w:w="100" w:type="dxa"/>
              <w:right w:w="140" w:type="dxa"/>
            </w:tcMar>
          </w:tcPr>
          <w:p w14:paraId="1644B92F" w14:textId="77777777" w:rsidR="00215CB5" w:rsidRDefault="00000000">
            <w:r>
              <w:rPr>
                <w:b/>
                <w:bCs/>
              </w:rPr>
              <w:lastRenderedPageBreak/>
              <w:t>Match / cost share</w:t>
            </w:r>
          </w:p>
        </w:tc>
        <w:tc>
          <w:tcPr>
            <w:tcW w:w="39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80F545" w14:textId="77777777" w:rsidR="00215CB5" w:rsidRDefault="00000000">
            <w:r>
              <w:t>None identified</w:t>
            </w:r>
          </w:p>
        </w:tc>
      </w:tr>
    </w:tbl>
    <w:p w14:paraId="1B696312" w14:textId="77777777" w:rsidR="00215CB5" w:rsidRDefault="00215CB5">
      <w:pPr>
        <w:spacing w:after="80"/>
      </w:pPr>
    </w:p>
    <w:p w14:paraId="692C394C" w14:textId="77777777" w:rsidR="00215CB5" w:rsidRDefault="00000000">
      <w:pPr>
        <w:pStyle w:val="Heading2"/>
      </w:pPr>
      <w:r>
        <w:t>Compliance and reporting</w:t>
      </w:r>
    </w:p>
    <w:p w14:paraId="609EFD63" w14:textId="77777777" w:rsidR="00215CB5" w:rsidRDefault="00000000">
      <w:pPr>
        <w:pStyle w:val="ListParagraph"/>
        <w:numPr>
          <w:ilvl w:val="0"/>
          <w:numId w:val="2"/>
        </w:numPr>
        <w:spacing w:after="80" w:line="280" w:lineRule="auto"/>
      </w:pPr>
      <w:r>
        <w:t>Reimbursement-based. SPIPA does not begin spending until the agreement is fully executed. Prior-year reference: K6207 was executed in early October 2025 although the award period began July 1.</w:t>
      </w:r>
    </w:p>
    <w:p w14:paraId="4E6BA491" w14:textId="77777777" w:rsidR="00215CB5" w:rsidRDefault="00000000">
      <w:pPr>
        <w:pStyle w:val="ListParagraph"/>
        <w:numPr>
          <w:ilvl w:val="0"/>
          <w:numId w:val="2"/>
        </w:numPr>
        <w:spacing w:after="80" w:line="280" w:lineRule="auto"/>
      </w:pPr>
      <w:r>
        <w:t>Monthly Resiliency Grant Invoice Vouchers with full backup documentation, targeted ahead of the 20th of the month following service.</w:t>
      </w:r>
    </w:p>
    <w:p w14:paraId="12953435" w14:textId="77777777" w:rsidR="00215CB5" w:rsidRDefault="00000000">
      <w:pPr>
        <w:pStyle w:val="ListParagraph"/>
        <w:numPr>
          <w:ilvl w:val="0"/>
          <w:numId w:val="2"/>
        </w:numPr>
        <w:spacing w:after="80" w:line="280" w:lineRule="auto"/>
      </w:pPr>
      <w:r>
        <w:t>Quarterly progress reports on the WSDA schedule and a final report at closeout.</w:t>
      </w:r>
    </w:p>
    <w:p w14:paraId="01008D74" w14:textId="77777777" w:rsidR="00215CB5" w:rsidRDefault="00000000">
      <w:pPr>
        <w:pStyle w:val="ListParagraph"/>
        <w:numPr>
          <w:ilvl w:val="0"/>
          <w:numId w:val="2"/>
        </w:numPr>
        <w:spacing w:after="80" w:line="280" w:lineRule="auto"/>
      </w:pPr>
      <w:r>
        <w:t>Project or budget changes over the 10% cumulative threshold are written-approval items before implementation.</w:t>
      </w:r>
    </w:p>
    <w:p w14:paraId="0D3F5776" w14:textId="77777777" w:rsidR="00215CB5" w:rsidRDefault="00000000">
      <w:pPr>
        <w:pStyle w:val="ListParagraph"/>
        <w:numPr>
          <w:ilvl w:val="0"/>
          <w:numId w:val="2"/>
        </w:numPr>
        <w:spacing w:after="80" w:line="280" w:lineRule="auto"/>
      </w:pPr>
      <w:r>
        <w:t>AGR-2383, AGR-8276, and AGR-2384 to be returned within 30 days of award notice.</w:t>
      </w:r>
    </w:p>
    <w:p w14:paraId="520B05CF" w14:textId="77777777" w:rsidR="00215CB5" w:rsidRDefault="00000000">
      <w:pPr>
        <w:pStyle w:val="Heading2"/>
      </w:pPr>
      <w:r>
        <w:t>What SPIPA needs from each Tribe</w:t>
      </w:r>
    </w:p>
    <w:p w14:paraId="0BEAC788" w14:textId="77777777" w:rsidR="00215CB5" w:rsidRDefault="00000000">
      <w:pPr>
        <w:pStyle w:val="ListParagraph"/>
        <w:numPr>
          <w:ilvl w:val="0"/>
          <w:numId w:val="2"/>
        </w:numPr>
        <w:spacing w:after="80" w:line="280" w:lineRule="auto"/>
      </w:pPr>
      <w:r>
        <w:t>A Council resolution or letter of support authorizing SPIPA to apply on the Tribe’s behalf and to receive and distribute food boxes under this grant.</w:t>
      </w:r>
    </w:p>
    <w:p w14:paraId="48F568CC" w14:textId="77777777" w:rsidR="00215CB5" w:rsidRDefault="00000000">
      <w:pPr>
        <w:pStyle w:val="ListParagraph"/>
        <w:numPr>
          <w:ilvl w:val="0"/>
          <w:numId w:val="2"/>
        </w:numPr>
        <w:spacing w:after="80" w:line="280" w:lineRule="auto"/>
      </w:pPr>
      <w:r>
        <w:t>Confirmation of no-compete (Tribe is not submitting its own application for the same funding).</w:t>
      </w:r>
    </w:p>
    <w:p w14:paraId="09C24363" w14:textId="77777777" w:rsidR="00215CB5" w:rsidRDefault="00000000">
      <w:pPr>
        <w:pStyle w:val="ListParagraph"/>
        <w:numPr>
          <w:ilvl w:val="0"/>
          <w:numId w:val="2"/>
        </w:numPr>
        <w:spacing w:after="80" w:line="280" w:lineRule="auto"/>
      </w:pPr>
      <w:r>
        <w:t>A Tribal point of contact for distribution coordination and household awareness.</w:t>
      </w:r>
    </w:p>
    <w:p w14:paraId="7C9FE84E" w14:textId="77777777" w:rsidR="00215CB5" w:rsidRDefault="00000000">
      <w:pPr>
        <w:pStyle w:val="Heading2"/>
      </w:pPr>
      <w:r>
        <w:t>Where the application stands now</w:t>
      </w:r>
    </w:p>
    <w:p w14:paraId="1D9FF325" w14:textId="77777777" w:rsidR="00215CB5" w:rsidRDefault="00000000">
      <w:pPr>
        <w:spacing w:after="140" w:line="300" w:lineRule="auto"/>
      </w:pPr>
      <w:r>
        <w:t>Working draft (v3) is the reference of record. All required webform pages and narrative responses are entered and saved. The narrative covers project summary, need, partnership/collaboration, client access and barriers, multi-location operations, major activities and timeline, general budget, and internal monitoring. The Budget Detail page is filled in. Acknowledgements are reviewed.</w:t>
      </w:r>
    </w:p>
    <w:p w14:paraId="1C3FA132" w14:textId="77777777" w:rsidR="00215CB5" w:rsidRDefault="00000000">
      <w:pPr>
        <w:pStyle w:val="ListParagraph"/>
        <w:numPr>
          <w:ilvl w:val="0"/>
          <w:numId w:val="2"/>
        </w:numPr>
        <w:spacing w:after="80" w:line="280" w:lineRule="auto"/>
      </w:pPr>
      <w:r>
        <w:t>Internal review and edits: open. Leadership Team review and Board approval still required.</w:t>
      </w:r>
    </w:p>
    <w:p w14:paraId="5017AAF8" w14:textId="77777777" w:rsidR="00215CB5" w:rsidRDefault="00000000">
      <w:pPr>
        <w:pStyle w:val="ListParagraph"/>
        <w:numPr>
          <w:ilvl w:val="0"/>
          <w:numId w:val="2"/>
        </w:numPr>
        <w:spacing w:after="80" w:line="280" w:lineRule="auto"/>
      </w:pPr>
      <w:r>
        <w:t>SPIPA Fiscal written approval of final budget: pending.</w:t>
      </w:r>
    </w:p>
    <w:p w14:paraId="3706C196" w14:textId="77777777" w:rsidR="00215CB5" w:rsidRDefault="00000000">
      <w:pPr>
        <w:pStyle w:val="ListParagraph"/>
        <w:numPr>
          <w:ilvl w:val="0"/>
          <w:numId w:val="2"/>
        </w:numPr>
        <w:spacing w:after="80" w:line="280" w:lineRule="auto"/>
      </w:pPr>
      <w:r>
        <w:t>Q9 / Budget Detail figure reconciliation ($4,400 vs. $4,500; rounded vs. exact food and indirect): pending Fiscal.</w:t>
      </w:r>
    </w:p>
    <w:p w14:paraId="193D7B00" w14:textId="77777777" w:rsidR="00215CB5" w:rsidRDefault="00000000">
      <w:pPr>
        <w:pStyle w:val="ListParagraph"/>
        <w:numPr>
          <w:ilvl w:val="0"/>
          <w:numId w:val="2"/>
        </w:numPr>
        <w:spacing w:after="80" w:line="280" w:lineRule="auto"/>
      </w:pPr>
      <w:r>
        <w:t>Council resolutions or letters of support from each member Tribe: secure or confirm on file.</w:t>
      </w:r>
    </w:p>
    <w:p w14:paraId="66A46ADE" w14:textId="77777777" w:rsidR="00215CB5" w:rsidRDefault="00000000">
      <w:pPr>
        <w:pStyle w:val="ListParagraph"/>
        <w:numPr>
          <w:ilvl w:val="0"/>
          <w:numId w:val="2"/>
        </w:numPr>
        <w:spacing w:after="80" w:line="280" w:lineRule="auto"/>
      </w:pPr>
      <w:r>
        <w:t>No-compete confirmations from each member Tribe: secure or confirm on file.</w:t>
      </w:r>
    </w:p>
    <w:p w14:paraId="4CA4A582" w14:textId="77777777" w:rsidR="00215CB5" w:rsidRDefault="00000000">
      <w:pPr>
        <w:pStyle w:val="ListParagraph"/>
        <w:numPr>
          <w:ilvl w:val="0"/>
          <w:numId w:val="2"/>
        </w:numPr>
        <w:spacing w:after="80" w:line="280" w:lineRule="auto"/>
      </w:pPr>
      <w:r>
        <w:t>SOS registration, EIN, and SWV# fields on the Grantee 1 page: confirm entered before submission.</w:t>
      </w:r>
    </w:p>
    <w:p w14:paraId="636E446A" w14:textId="77777777" w:rsidR="00215CB5" w:rsidRDefault="00000000">
      <w:pPr>
        <w:pStyle w:val="ListParagraph"/>
        <w:numPr>
          <w:ilvl w:val="0"/>
          <w:numId w:val="2"/>
        </w:numPr>
        <w:spacing w:after="80" w:line="280" w:lineRule="auto"/>
      </w:pPr>
      <w:r>
        <w:t>Insurance certificate, additional insured endorsement, and SWV registration: confirm current.</w:t>
      </w:r>
    </w:p>
    <w:p w14:paraId="18438EB2" w14:textId="77777777" w:rsidR="00215CB5" w:rsidRDefault="00000000">
      <w:pPr>
        <w:pStyle w:val="Heading2"/>
      </w:pPr>
      <w:r>
        <w:t>Contact</w:t>
      </w:r>
    </w:p>
    <w:p w14:paraId="72C603A0" w14:textId="77777777" w:rsidR="00215CB5" w:rsidRDefault="00000000">
      <w:pPr>
        <w:spacing w:after="140" w:line="300" w:lineRule="auto"/>
      </w:pPr>
      <w:r>
        <w:t>Joseph Reyes, Planning/Development Director, South Puget Intertribal Planning Agency.</w:t>
      </w:r>
    </w:p>
    <w:sectPr w:rsidR="00215CB5">
      <w:pgSz w:w="12240" w:h="15840"/>
      <w:pgMar w:top="108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A173C"/>
    <w:multiLevelType w:val="hybridMultilevel"/>
    <w:tmpl w:val="FABEF8E0"/>
    <w:lvl w:ilvl="0" w:tplc="614E7100">
      <w:start w:val="1"/>
      <w:numFmt w:val="bullet"/>
      <w:lvlText w:val="•"/>
      <w:lvlJc w:val="left"/>
      <w:pPr>
        <w:ind w:left="540" w:hanging="270"/>
      </w:pPr>
    </w:lvl>
    <w:lvl w:ilvl="1" w:tplc="7ECCBB5A">
      <w:numFmt w:val="decimal"/>
      <w:lvlText w:val=""/>
      <w:lvlJc w:val="left"/>
    </w:lvl>
    <w:lvl w:ilvl="2" w:tplc="E63C1054">
      <w:numFmt w:val="decimal"/>
      <w:lvlText w:val=""/>
      <w:lvlJc w:val="left"/>
    </w:lvl>
    <w:lvl w:ilvl="3" w:tplc="C352A1B8">
      <w:numFmt w:val="decimal"/>
      <w:lvlText w:val=""/>
      <w:lvlJc w:val="left"/>
    </w:lvl>
    <w:lvl w:ilvl="4" w:tplc="AD680AB4">
      <w:numFmt w:val="decimal"/>
      <w:lvlText w:val=""/>
      <w:lvlJc w:val="left"/>
    </w:lvl>
    <w:lvl w:ilvl="5" w:tplc="08727514">
      <w:numFmt w:val="decimal"/>
      <w:lvlText w:val=""/>
      <w:lvlJc w:val="left"/>
    </w:lvl>
    <w:lvl w:ilvl="6" w:tplc="02141458">
      <w:numFmt w:val="decimal"/>
      <w:lvlText w:val=""/>
      <w:lvlJc w:val="left"/>
    </w:lvl>
    <w:lvl w:ilvl="7" w:tplc="C98CB412">
      <w:numFmt w:val="decimal"/>
      <w:lvlText w:val=""/>
      <w:lvlJc w:val="left"/>
    </w:lvl>
    <w:lvl w:ilvl="8" w:tplc="88EA0978">
      <w:numFmt w:val="decimal"/>
      <w:lvlText w:val=""/>
      <w:lvlJc w:val="left"/>
    </w:lvl>
  </w:abstractNum>
  <w:abstractNum w:abstractNumId="1" w15:restartNumberingAfterBreak="0">
    <w:nsid w:val="7102245E"/>
    <w:multiLevelType w:val="hybridMultilevel"/>
    <w:tmpl w:val="C6D0ABF4"/>
    <w:lvl w:ilvl="0" w:tplc="657803D4">
      <w:start w:val="1"/>
      <w:numFmt w:val="bullet"/>
      <w:lvlText w:val="●"/>
      <w:lvlJc w:val="left"/>
      <w:pPr>
        <w:ind w:left="720" w:hanging="360"/>
      </w:pPr>
    </w:lvl>
    <w:lvl w:ilvl="1" w:tplc="3DDA21EA">
      <w:start w:val="1"/>
      <w:numFmt w:val="bullet"/>
      <w:lvlText w:val="○"/>
      <w:lvlJc w:val="left"/>
      <w:pPr>
        <w:ind w:left="1440" w:hanging="360"/>
      </w:pPr>
    </w:lvl>
    <w:lvl w:ilvl="2" w:tplc="7A8E2960">
      <w:start w:val="1"/>
      <w:numFmt w:val="bullet"/>
      <w:lvlText w:val="■"/>
      <w:lvlJc w:val="left"/>
      <w:pPr>
        <w:ind w:left="2160" w:hanging="360"/>
      </w:pPr>
    </w:lvl>
    <w:lvl w:ilvl="3" w:tplc="91D640C8">
      <w:start w:val="1"/>
      <w:numFmt w:val="bullet"/>
      <w:lvlText w:val="●"/>
      <w:lvlJc w:val="left"/>
      <w:pPr>
        <w:ind w:left="2880" w:hanging="360"/>
      </w:pPr>
    </w:lvl>
    <w:lvl w:ilvl="4" w:tplc="85BAD3BA">
      <w:start w:val="1"/>
      <w:numFmt w:val="bullet"/>
      <w:lvlText w:val="○"/>
      <w:lvlJc w:val="left"/>
      <w:pPr>
        <w:ind w:left="3600" w:hanging="360"/>
      </w:pPr>
    </w:lvl>
    <w:lvl w:ilvl="5" w:tplc="24E01CB2">
      <w:start w:val="1"/>
      <w:numFmt w:val="bullet"/>
      <w:lvlText w:val="■"/>
      <w:lvlJc w:val="left"/>
      <w:pPr>
        <w:ind w:left="4320" w:hanging="360"/>
      </w:pPr>
    </w:lvl>
    <w:lvl w:ilvl="6" w:tplc="1DBE44F0">
      <w:start w:val="1"/>
      <w:numFmt w:val="bullet"/>
      <w:lvlText w:val="●"/>
      <w:lvlJc w:val="left"/>
      <w:pPr>
        <w:ind w:left="5040" w:hanging="360"/>
      </w:pPr>
    </w:lvl>
    <w:lvl w:ilvl="7" w:tplc="18421E54">
      <w:start w:val="1"/>
      <w:numFmt w:val="bullet"/>
      <w:lvlText w:val="●"/>
      <w:lvlJc w:val="left"/>
      <w:pPr>
        <w:ind w:left="5760" w:hanging="360"/>
      </w:pPr>
    </w:lvl>
    <w:lvl w:ilvl="8" w:tplc="E5F816F0">
      <w:start w:val="1"/>
      <w:numFmt w:val="bullet"/>
      <w:lvlText w:val="●"/>
      <w:lvlJc w:val="left"/>
      <w:pPr>
        <w:ind w:left="6480" w:hanging="360"/>
      </w:pPr>
    </w:lvl>
  </w:abstractNum>
  <w:num w:numId="1" w16cid:durableId="1463377410">
    <w:abstractNumId w:val="1"/>
    <w:lvlOverride w:ilvl="0">
      <w:startOverride w:val="1"/>
    </w:lvlOverride>
  </w:num>
  <w:num w:numId="2" w16cid:durableId="16595765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B5"/>
    <w:rsid w:val="00215CB5"/>
    <w:rsid w:val="00225FBC"/>
    <w:rsid w:val="0075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0071"/>
  <w15:docId w15:val="{67473389-ED64-4E9C-8CC0-9F106C9B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60"/>
      <w:outlineLvl w:val="0"/>
    </w:pPr>
    <w:rPr>
      <w:b/>
      <w:bCs/>
      <w:sz w:val="32"/>
      <w:szCs w:val="32"/>
    </w:rPr>
  </w:style>
  <w:style w:type="paragraph" w:styleId="Heading2">
    <w:name w:val="heading 2"/>
    <w:uiPriority w:val="9"/>
    <w:unhideWhenUsed/>
    <w:qFormat/>
    <w:pPr>
      <w:spacing w:before="200" w:after="100"/>
      <w:outlineLvl w:val="1"/>
    </w:pPr>
    <w:rPr>
      <w:b/>
      <w:bCs/>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852B5C37664CB94427EC625BF512" ma:contentTypeVersion="14" ma:contentTypeDescription="Create a new document." ma:contentTypeScope="" ma:versionID="d469a2765f1c08fc1a94f676c7fa11d0">
  <xsd:schema xmlns:xsd="http://www.w3.org/2001/XMLSchema" xmlns:xs="http://www.w3.org/2001/XMLSchema" xmlns:p="http://schemas.microsoft.com/office/2006/metadata/properties" xmlns:ns2="8b189914-738b-4e44-b188-18f103c56ee1" xmlns:ns3="7b06613b-1ce7-4e5a-b7e6-9baa5288ae30" targetNamespace="http://schemas.microsoft.com/office/2006/metadata/properties" ma:root="true" ma:fieldsID="627b1977a9f9aa1441d15f82bf735d7c" ns2:_="" ns3:_="">
    <xsd:import namespace="8b189914-738b-4e44-b188-18f103c56ee1"/>
    <xsd:import namespace="7b06613b-1ce7-4e5a-b7e6-9baa5288ae3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89914-738b-4e44-b188-18f103c56ee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04372a8-c232-43b9-ae97-32898c634da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6613b-1ce7-4e5a-b7e6-9baa5288ae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2b92a7b-e9b9-465c-a875-3d708a4e9afa}" ma:internalName="TaxCatchAll" ma:showField="CatchAllData" ma:web="7b06613b-1ce7-4e5a-b7e6-9baa5288ae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06613b-1ce7-4e5a-b7e6-9baa5288ae30" xsi:nil="true"/>
    <lcf76f155ced4ddcb4097134ff3c332f xmlns="8b189914-738b-4e44-b188-18f103c56e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5C68F8-C7D9-4528-82C7-70726506DCD4}"/>
</file>

<file path=customXml/itemProps2.xml><?xml version="1.0" encoding="utf-8"?>
<ds:datastoreItem xmlns:ds="http://schemas.openxmlformats.org/officeDocument/2006/customXml" ds:itemID="{22AFBB19-FA42-494E-BE91-944F864AC032}"/>
</file>

<file path=customXml/itemProps3.xml><?xml version="1.0" encoding="utf-8"?>
<ds:datastoreItem xmlns:ds="http://schemas.openxmlformats.org/officeDocument/2006/customXml" ds:itemID="{A8231C39-4847-4433-96E9-1527F6FECC7C}"/>
</file>

<file path=docProps/app.xml><?xml version="1.0" encoding="utf-8"?>
<Properties xmlns="http://schemas.openxmlformats.org/officeDocument/2006/extended-properties" xmlns:vt="http://schemas.openxmlformats.org/officeDocument/2006/docPropsVTypes">
  <Template>Normal</Template>
  <TotalTime>6</TotalTime>
  <Pages>3</Pages>
  <Words>846</Words>
  <Characters>4828</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Joseph Reyes</cp:lastModifiedBy>
  <cp:revision>2</cp:revision>
  <dcterms:created xsi:type="dcterms:W3CDTF">2026-04-27T18:56:00Z</dcterms:created>
  <dcterms:modified xsi:type="dcterms:W3CDTF">2026-04-27T19:05:00Z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0x0101009102852B5C37664CB94427EC625BF512</vt:lpwstr>
  </property>
</Properties>
</file>