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8932" w14:textId="77777777" w:rsidR="00B934D4" w:rsidRDefault="00B934D4">
      <w:pPr>
        <w:spacing w:after="120"/>
        <w:jc w:val="center"/>
        <w:rPr>
          <w:b/>
          <w:bCs/>
          <w:sz w:val="32"/>
          <w:szCs w:val="32"/>
        </w:rPr>
      </w:pPr>
    </w:p>
    <w:p w14:paraId="515BAFE0" w14:textId="6FC85B9D" w:rsidR="00F95C46" w:rsidRDefault="00000000">
      <w:pPr>
        <w:spacing w:after="120"/>
        <w:jc w:val="center"/>
      </w:pPr>
      <w:r>
        <w:rPr>
          <w:b/>
          <w:bCs/>
          <w:sz w:val="32"/>
          <w:szCs w:val="32"/>
        </w:rPr>
        <w:t>Grant Abstract</w:t>
      </w:r>
    </w:p>
    <w:p w14:paraId="515BAFE1" w14:textId="77777777" w:rsidR="00F95C46" w:rsidRDefault="00000000">
      <w:pPr>
        <w:spacing w:after="240"/>
        <w:jc w:val="center"/>
      </w:pPr>
      <w:r>
        <w:rPr>
          <w:i/>
          <w:iCs/>
        </w:rPr>
        <w:t>CSBG Tribal Plan and Application — FY2027–FY2028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9"/>
        <w:gridCol w:w="6841"/>
      </w:tblGrid>
      <w:tr w:rsidR="00F95C46" w14:paraId="515BAFE4" w14:textId="77777777" w:rsidTr="00B934D4">
        <w:tblPrEx>
          <w:tblCellMar>
            <w:top w:w="0" w:type="dxa"/>
            <w:bottom w:w="0" w:type="dxa"/>
          </w:tblCellMar>
        </w:tblPrEx>
        <w:tc>
          <w:tcPr>
            <w:tcW w:w="2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2" w14:textId="77777777" w:rsidR="00F95C46" w:rsidRDefault="00000000">
            <w:r>
              <w:rPr>
                <w:b/>
                <w:bCs/>
              </w:rPr>
              <w:t>Funding agency</w:t>
            </w:r>
          </w:p>
        </w:tc>
        <w:tc>
          <w:tcPr>
            <w:tcW w:w="68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3" w14:textId="77777777" w:rsidR="00F95C46" w:rsidRDefault="00000000">
            <w:r>
              <w:t>U.S. Department of Health and Human Services, Administration for Children and Families (ACF), Office of Community Services (OCS)</w:t>
            </w:r>
          </w:p>
        </w:tc>
      </w:tr>
      <w:tr w:rsidR="00F95C46" w14:paraId="515BAFE7" w14:textId="77777777" w:rsidTr="00B934D4">
        <w:tblPrEx>
          <w:tblCellMar>
            <w:top w:w="0" w:type="dxa"/>
            <w:bottom w:w="0" w:type="dxa"/>
          </w:tblCellMar>
        </w:tblPrEx>
        <w:tc>
          <w:tcPr>
            <w:tcW w:w="2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5" w14:textId="77777777" w:rsidR="00F95C46" w:rsidRDefault="00000000">
            <w:r>
              <w:rPr>
                <w:b/>
                <w:bCs/>
              </w:rPr>
              <w:t>Program name</w:t>
            </w:r>
          </w:p>
        </w:tc>
        <w:tc>
          <w:tcPr>
            <w:tcW w:w="68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6" w14:textId="77777777" w:rsidR="00F95C46" w:rsidRDefault="00000000">
            <w:r>
              <w:t>Community Services Block Grant (CSBG) Tribal Plan and Application 1.0 (OMB No. 0970-0635)</w:t>
            </w:r>
          </w:p>
        </w:tc>
      </w:tr>
      <w:tr w:rsidR="00F95C46" w14:paraId="515BAFEA" w14:textId="77777777" w:rsidTr="00B934D4">
        <w:tblPrEx>
          <w:tblCellMar>
            <w:top w:w="0" w:type="dxa"/>
            <w:bottom w:w="0" w:type="dxa"/>
          </w:tblCellMar>
        </w:tblPrEx>
        <w:tc>
          <w:tcPr>
            <w:tcW w:w="2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8" w14:textId="77777777" w:rsidR="00F95C46" w:rsidRDefault="00000000">
            <w:r>
              <w:rPr>
                <w:b/>
                <w:bCs/>
              </w:rPr>
              <w:t>Funding type</w:t>
            </w:r>
          </w:p>
        </w:tc>
        <w:tc>
          <w:tcPr>
            <w:tcW w:w="68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9" w14:textId="77777777" w:rsidR="00F95C46" w:rsidRDefault="00000000">
            <w:r>
              <w:t>Formula grant to eligible Tribes and Tribal Organizations under the CSBG Act (42 U.S.C. § 9901 et seq.)</w:t>
            </w:r>
          </w:p>
        </w:tc>
      </w:tr>
      <w:tr w:rsidR="00F95C46" w14:paraId="515BAFED" w14:textId="77777777" w:rsidTr="00B934D4">
        <w:tblPrEx>
          <w:tblCellMar>
            <w:top w:w="0" w:type="dxa"/>
            <w:bottom w:w="0" w:type="dxa"/>
          </w:tblCellMar>
        </w:tblPrEx>
        <w:tc>
          <w:tcPr>
            <w:tcW w:w="2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B" w14:textId="77777777" w:rsidR="00F95C46" w:rsidRDefault="00000000">
            <w:r>
              <w:rPr>
                <w:b/>
                <w:bCs/>
              </w:rPr>
              <w:t>Period of performance</w:t>
            </w:r>
          </w:p>
        </w:tc>
        <w:tc>
          <w:tcPr>
            <w:tcW w:w="68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C" w14:textId="77777777" w:rsidR="00F95C46" w:rsidRDefault="00000000">
            <w:r>
              <w:t>October 1, 2026 – September 30, 2028 (FY2027 and FY2028, two-year plan)</w:t>
            </w:r>
          </w:p>
        </w:tc>
      </w:tr>
      <w:tr w:rsidR="00F95C46" w14:paraId="515BAFF0" w14:textId="77777777" w:rsidTr="00B934D4">
        <w:tblPrEx>
          <w:tblCellMar>
            <w:top w:w="0" w:type="dxa"/>
            <w:bottom w:w="0" w:type="dxa"/>
          </w:tblCellMar>
        </w:tblPrEx>
        <w:tc>
          <w:tcPr>
            <w:tcW w:w="2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E" w14:textId="77777777" w:rsidR="00F95C46" w:rsidRDefault="00000000">
            <w:r>
              <w:rPr>
                <w:b/>
                <w:bCs/>
              </w:rPr>
              <w:t>Application deadline</w:t>
            </w:r>
          </w:p>
        </w:tc>
        <w:tc>
          <w:tcPr>
            <w:tcW w:w="68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EF" w14:textId="77777777" w:rsidR="00F95C46" w:rsidRDefault="00000000">
            <w:r>
              <w:t>[Confirm with ACF — typically submitted prior to 10/1/2026 start of plan period; confirm current ACF notice and OLDC submission window]</w:t>
            </w:r>
          </w:p>
        </w:tc>
      </w:tr>
      <w:tr w:rsidR="00F95C46" w14:paraId="515BAFF3" w14:textId="77777777" w:rsidTr="00B934D4">
        <w:tblPrEx>
          <w:tblCellMar>
            <w:top w:w="0" w:type="dxa"/>
            <w:bottom w:w="0" w:type="dxa"/>
          </w:tblCellMar>
        </w:tblPrEx>
        <w:tc>
          <w:tcPr>
            <w:tcW w:w="2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F1" w14:textId="77777777" w:rsidR="00F95C46" w:rsidRDefault="00000000">
            <w:r>
              <w:rPr>
                <w:b/>
                <w:bCs/>
              </w:rPr>
              <w:t>Today's date</w:t>
            </w:r>
          </w:p>
        </w:tc>
        <w:tc>
          <w:tcPr>
            <w:tcW w:w="68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F2" w14:textId="77777777" w:rsidR="00F95C46" w:rsidRDefault="00000000">
            <w:r>
              <w:t>April 24, 2026</w:t>
            </w:r>
          </w:p>
        </w:tc>
      </w:tr>
      <w:tr w:rsidR="00F95C46" w14:paraId="515BAFF6" w14:textId="77777777" w:rsidTr="00B934D4">
        <w:tblPrEx>
          <w:tblCellMar>
            <w:top w:w="0" w:type="dxa"/>
            <w:bottom w:w="0" w:type="dxa"/>
          </w:tblCellMar>
        </w:tblPrEx>
        <w:tc>
          <w:tcPr>
            <w:tcW w:w="25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F4" w14:textId="77777777" w:rsidR="00F95C46" w:rsidRDefault="00000000">
            <w:r>
              <w:rPr>
                <w:b/>
                <w:bCs/>
              </w:rPr>
              <w:t>SPIPA project lead</w:t>
            </w:r>
          </w:p>
        </w:tc>
        <w:tc>
          <w:tcPr>
            <w:tcW w:w="68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AFF5" w14:textId="77777777" w:rsidR="00F95C46" w:rsidRDefault="00000000">
            <w:r>
              <w:t>Family and Community Resources Programs Manager (CRPM); P&amp;D and Grant Writer support; Fiscal Services Director</w:t>
            </w:r>
          </w:p>
        </w:tc>
      </w:tr>
    </w:tbl>
    <w:p w14:paraId="515BAFF7" w14:textId="77777777" w:rsidR="00F95C46" w:rsidRDefault="00F95C46">
      <w:pPr>
        <w:spacing w:after="120"/>
      </w:pPr>
    </w:p>
    <w:p w14:paraId="515BAFF8" w14:textId="77777777" w:rsidR="00F95C46" w:rsidRDefault="00000000">
      <w:pPr>
        <w:pStyle w:val="Heading2"/>
      </w:pPr>
      <w:r>
        <w:t>Purpose of the project</w:t>
      </w:r>
    </w:p>
    <w:p w14:paraId="515BAFF9" w14:textId="77777777" w:rsidR="00F95C46" w:rsidRDefault="00000000">
      <w:pPr>
        <w:spacing w:after="120"/>
      </w:pPr>
      <w:r>
        <w:t xml:space="preserve">SPIPA proposes to continue serving as CSBG lead applicant and grant administrator for five federally recognized consortium Tribes — Chehalis, Nisqually, </w:t>
      </w:r>
      <w:proofErr w:type="spellStart"/>
      <w:r>
        <w:t>Shoalwater</w:t>
      </w:r>
      <w:proofErr w:type="spellEnd"/>
      <w:r>
        <w:t xml:space="preserve"> Bay, Skokomish, and Squaxin Island — for the FY2027–FY2028 plan period. CSBG funds support each Tribe's locally directed anti-poverty work: emergency assistance, housing stability, food and nutrition, employment </w:t>
      </w:r>
      <w:proofErr w:type="gramStart"/>
      <w:r>
        <w:t>supports</w:t>
      </w:r>
      <w:proofErr w:type="gramEnd"/>
      <w:r>
        <w:t>, and related services delivered through Tribal Family or Social Services departments.</w:t>
      </w:r>
    </w:p>
    <w:p w14:paraId="515BAFFA" w14:textId="77777777" w:rsidR="00F95C46" w:rsidRDefault="00000000">
      <w:pPr>
        <w:pStyle w:val="Heading2"/>
      </w:pPr>
      <w:r>
        <w:t>Population served</w:t>
      </w:r>
    </w:p>
    <w:p w14:paraId="515BAFFB" w14:textId="77777777" w:rsidR="00F95C46" w:rsidRDefault="00000000">
      <w:pPr>
        <w:spacing w:after="120"/>
      </w:pPr>
      <w:r>
        <w:t>Tribal members and other Indians living on or adjacent to the five reservations. Income eligibility is determined under the CSBG Act; default threshold is 125% FPL. The Consolidated Appropriations Act, 2026 (P.L. 119-75, signed 2/3/2026) continues authority to use up to 200% FPL for FY26; threshold choice for FY2027–FY2028 to be confirmed with Fiscal.</w:t>
      </w:r>
    </w:p>
    <w:p w14:paraId="515BAFFC" w14:textId="77777777" w:rsidR="00F95C46" w:rsidRDefault="00000000">
      <w:pPr>
        <w:pStyle w:val="Heading2"/>
      </w:pPr>
      <w:r>
        <w:t>Geographic service area</w:t>
      </w:r>
    </w:p>
    <w:p w14:paraId="515BAFFD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Confederated Tribes of the Chehalis Reservation — Grays Harbor and Thurston Counties</w:t>
      </w:r>
    </w:p>
    <w:p w14:paraId="515BAFFE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Nisqually Indian Tribe — Thurston County</w:t>
      </w:r>
    </w:p>
    <w:p w14:paraId="515BAFFF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Skokomish Indian Tribe — Mason County</w:t>
      </w:r>
    </w:p>
    <w:p w14:paraId="515BB000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Squaxin Island Tribe — Mason County</w:t>
      </w:r>
    </w:p>
    <w:p w14:paraId="515BB001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t>Shoalwater</w:t>
      </w:r>
      <w:proofErr w:type="spellEnd"/>
      <w:r>
        <w:t xml:space="preserve"> Bay Indian Tribe — Pacific County</w:t>
      </w:r>
    </w:p>
    <w:p w14:paraId="5F939309" w14:textId="77777777" w:rsidR="003775AF" w:rsidRDefault="003775AF">
      <w:pPr>
        <w:pStyle w:val="Heading2"/>
      </w:pPr>
    </w:p>
    <w:p w14:paraId="6C1E07CD" w14:textId="77777777" w:rsidR="007D3FC3" w:rsidRDefault="007D3FC3">
      <w:pPr>
        <w:pStyle w:val="Heading2"/>
      </w:pPr>
    </w:p>
    <w:p w14:paraId="515BB002" w14:textId="230AB066" w:rsidR="00F95C46" w:rsidRDefault="00000000">
      <w:pPr>
        <w:pStyle w:val="Heading2"/>
      </w:pPr>
      <w:r>
        <w:t>Activities to be performed</w:t>
      </w:r>
    </w:p>
    <w:p w14:paraId="515BB003" w14:textId="77777777" w:rsidR="00F95C46" w:rsidRDefault="00000000">
      <w:pPr>
        <w:spacing w:after="120"/>
      </w:pPr>
      <w:r>
        <w:t>Services are organized under the CSBG core service categories and delivered through each Tribe's Family or Social Services Department under an executed MOA with SPIPA. Typical activities include:</w:t>
      </w:r>
    </w:p>
    <w:p w14:paraId="515BB004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Emergency assistance (rent, utilities, food, transportation)</w:t>
      </w:r>
    </w:p>
    <w:p w14:paraId="515BB005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Housing stability and minor home repair</w:t>
      </w:r>
    </w:p>
    <w:p w14:paraId="515BB006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 xml:space="preserve">Food and nutrition support, including </w:t>
      </w:r>
      <w:proofErr w:type="gramStart"/>
      <w:r>
        <w:t>Elder</w:t>
      </w:r>
      <w:proofErr w:type="gramEnd"/>
      <w:r>
        <w:t xml:space="preserve"> food delivery</w:t>
      </w:r>
    </w:p>
    <w:p w14:paraId="515BB007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 xml:space="preserve">Employment and pre-employment </w:t>
      </w:r>
      <w:proofErr w:type="gramStart"/>
      <w:r>
        <w:t>supports</w:t>
      </w:r>
      <w:proofErr w:type="gramEnd"/>
    </w:p>
    <w:p w14:paraId="515BB008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Education, youth development, and cultural capacity programming</w:t>
      </w:r>
    </w:p>
    <w:p w14:paraId="515BB009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Financial literacy, budgeting, and asset-building</w:t>
      </w:r>
    </w:p>
    <w:p w14:paraId="515BB00A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Coordination and linkages with TANF, 477, LIHEAP, and other Tribal/federal programs</w:t>
      </w:r>
    </w:p>
    <w:p w14:paraId="515BB00B" w14:textId="77777777" w:rsidR="00F95C46" w:rsidRDefault="00000000">
      <w:pPr>
        <w:pStyle w:val="Heading2"/>
      </w:pPr>
      <w:r>
        <w:t>Participants and outcomes</w:t>
      </w:r>
    </w:p>
    <w:p w14:paraId="515BB00C" w14:textId="77777777" w:rsidR="00F95C46" w:rsidRDefault="00000000">
      <w:pPr>
        <w:spacing w:after="120"/>
      </w:pPr>
      <w:r>
        <w:t>Combined service population is approximately [confirm current enrollment figure; 2024 plan used ~4,200] across the five Tribes. Performance is reported through ACF's CSBG performance measurement framework and the CSBG Annual Report. Outputs and outcomes tracked include households assisted, emergencies resolved, and referrals/linkages made. Cost-per-participant is not a CSBG scoring element but can be calculated from the final allocation for internal planning.</w:t>
      </w:r>
    </w:p>
    <w:p w14:paraId="515BB00D" w14:textId="77777777" w:rsidR="00F95C46" w:rsidRDefault="00000000">
      <w:pPr>
        <w:pStyle w:val="Heading2"/>
      </w:pPr>
      <w:r>
        <w:t>Application path</w:t>
      </w:r>
    </w:p>
    <w:p w14:paraId="515BB00E" w14:textId="24DB9719" w:rsidR="00F95C46" w:rsidRDefault="00000000">
      <w:pPr>
        <w:spacing w:after="120"/>
      </w:pPr>
      <w:r>
        <w:t xml:space="preserve">Standard ACF Tribal Plan submission via </w:t>
      </w:r>
      <w:proofErr w:type="spellStart"/>
      <w:r>
        <w:t>GrantSolutions</w:t>
      </w:r>
      <w:proofErr w:type="spellEnd"/>
      <w:r>
        <w:t xml:space="preserve"> / OLDC. Required components: SF-424M, the CSBG Tribal Plan and Application form (Sections 1–8), five Tribal Council resolutions, SPIPA Board resolution, most recent Single Audit, and any additional ACF-requested attachments, assembled as a single PDF Portfolio with the fillable PDF first. Narrative sections are capped at 5,000 characters each. </w:t>
      </w:r>
    </w:p>
    <w:p w14:paraId="515BB00F" w14:textId="77777777" w:rsidR="00F95C46" w:rsidRDefault="00000000">
      <w:pPr>
        <w:pStyle w:val="Heading2"/>
      </w:pPr>
      <w:r>
        <w:t>Fit with existing SPIPA programs</w:t>
      </w:r>
    </w:p>
    <w:p w14:paraId="515BB010" w14:textId="77777777" w:rsidR="00F95C46" w:rsidRDefault="00000000">
      <w:pPr>
        <w:spacing w:after="120"/>
      </w:pPr>
      <w:r>
        <w:t>CSBG is long-standing SPIPA programming, integrated with each Tribe's broader social services mix and coordinated with 477, TANF, ICW, and other Tribal programs. SPIPA's lower indirect rate and centralized Fiscal Services allow a higher share of funds to reach program services at the Tribal level. This is a continuation of an existing, working model — not a new project.</w:t>
      </w:r>
    </w:p>
    <w:p w14:paraId="515BB011" w14:textId="77777777" w:rsidR="00F95C46" w:rsidRDefault="00000000">
      <w:pPr>
        <w:pStyle w:val="Heading2"/>
      </w:pPr>
      <w:r>
        <w:t>Budget shape</w:t>
      </w:r>
    </w:p>
    <w:p w14:paraId="515BB012" w14:textId="77777777" w:rsidR="00F95C46" w:rsidRDefault="00000000">
      <w:pPr>
        <w:spacing w:after="120"/>
      </w:pPr>
      <w:r>
        <w:t>Formula award — total amount determined by ACF allotment and not guaranteed. Statutory split: administrative expenses not more than 5%; program funds not less than 95%. Planned allocation percentages across core service categories to be confirmed with Fiscal and the CRPM before submission (Section 5.1 of the application).</w:t>
      </w:r>
    </w:p>
    <w:p w14:paraId="515BB013" w14:textId="4E3E6245" w:rsidR="00F95C46" w:rsidRDefault="00000000">
      <w:pPr>
        <w:spacing w:after="120"/>
      </w:pPr>
      <w:r>
        <w:t xml:space="preserve">No match is required. No subrecipient monitoring beyond the SPIPA-to-Tribe MOA structure. Single Audit applies </w:t>
      </w:r>
      <w:r w:rsidR="00956D01">
        <w:t xml:space="preserve">for </w:t>
      </w:r>
      <w:r>
        <w:t xml:space="preserve">SPIPA </w:t>
      </w:r>
      <w:r w:rsidR="00956D01">
        <w:t>(</w:t>
      </w:r>
      <w:r>
        <w:t>expends $750,000 or more in federal awards in the fiscal year</w:t>
      </w:r>
      <w:r w:rsidR="00956D01">
        <w:t>)</w:t>
      </w:r>
      <w:r>
        <w:t>.</w:t>
      </w:r>
    </w:p>
    <w:p w14:paraId="3E8A3C02" w14:textId="77777777" w:rsidR="007D3FC3" w:rsidRDefault="007D3FC3">
      <w:pPr>
        <w:spacing w:after="120"/>
      </w:pPr>
    </w:p>
    <w:p w14:paraId="4D2C2FD3" w14:textId="77777777" w:rsidR="007D3FC3" w:rsidRDefault="007D3FC3">
      <w:pPr>
        <w:spacing w:after="120"/>
      </w:pPr>
    </w:p>
    <w:p w14:paraId="5C58887C" w14:textId="77777777" w:rsidR="007D3FC3" w:rsidRDefault="007D3FC3">
      <w:pPr>
        <w:spacing w:after="120"/>
      </w:pPr>
    </w:p>
    <w:p w14:paraId="79F784AC" w14:textId="77777777" w:rsidR="007D3FC3" w:rsidRDefault="007D3FC3">
      <w:pPr>
        <w:spacing w:after="120"/>
      </w:pPr>
    </w:p>
    <w:p w14:paraId="515BB014" w14:textId="213FA0EE" w:rsidR="00F95C46" w:rsidRDefault="00000000">
      <w:pPr>
        <w:pStyle w:val="Heading2"/>
      </w:pPr>
      <w:r>
        <w:t>F</w:t>
      </w:r>
      <w:r w:rsidR="00F26576">
        <w:t>lags</w:t>
      </w:r>
    </w:p>
    <w:p w14:paraId="515BB015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Consultation with all five Tribes and written resolutions from each are required before submission; one no-compete request from any consortium Tribe stops the application.</w:t>
      </w:r>
    </w:p>
    <w:p w14:paraId="515BB016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Resolution language must cover the full two-year plan period (10/1/2026–9/30/2028 or FY2027 and FY2028) — single-year resolutions will not work.</w:t>
      </w:r>
    </w:p>
    <w:p w14:paraId="515BB019" w14:textId="241D186E" w:rsidR="00F95C46" w:rsidRDefault="00000000">
      <w:pPr>
        <w:pStyle w:val="ListParagraph"/>
        <w:numPr>
          <w:ilvl w:val="0"/>
          <w:numId w:val="2"/>
        </w:numPr>
        <w:spacing w:after="60"/>
      </w:pPr>
      <w:r>
        <w:t>D</w:t>
      </w:r>
      <w:r w:rsidR="008D1CFC">
        <w:t>RAFTS do</w:t>
      </w:r>
      <w:r>
        <w:t xml:space="preserve"> not describe a community needs assessment or partner feedback activity as completed un</w:t>
      </w:r>
      <w:r w:rsidR="00F26576">
        <w:t>til</w:t>
      </w:r>
      <w:r>
        <w:t xml:space="preserve"> it</w:t>
      </w:r>
      <w:r w:rsidR="00F26576">
        <w:t>’</w:t>
      </w:r>
      <w:r>
        <w:t xml:space="preserve">s </w:t>
      </w:r>
      <w:proofErr w:type="gramStart"/>
      <w:r>
        <w:t>actually conducted</w:t>
      </w:r>
      <w:proofErr w:type="gramEnd"/>
      <w:r>
        <w:t xml:space="preserve"> during this plan cycle.</w:t>
      </w:r>
    </w:p>
    <w:p w14:paraId="515BB01A" w14:textId="77777777" w:rsidR="00F95C46" w:rsidRDefault="00000000">
      <w:pPr>
        <w:pStyle w:val="ListParagraph"/>
        <w:numPr>
          <w:ilvl w:val="0"/>
          <w:numId w:val="2"/>
        </w:numPr>
        <w:spacing w:after="60"/>
      </w:pPr>
      <w:r>
        <w:t>An executed MOA between SPIPA and each participating Tribe is required after award and before implementation.</w:t>
      </w:r>
    </w:p>
    <w:p w14:paraId="515BB01D" w14:textId="4869687B" w:rsidR="00F95C46" w:rsidRDefault="00F95C46"/>
    <w:sectPr w:rsidR="00F95C46" w:rsidSect="00F50B16">
      <w:headerReference w:type="default" r:id="rId10"/>
      <w:footerReference w:type="default" r:id="rId11"/>
      <w:pgSz w:w="12240" w:h="15840"/>
      <w:pgMar w:top="99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0FEE" w14:textId="77777777" w:rsidR="00B607B5" w:rsidRDefault="00B607B5" w:rsidP="000D74A1">
      <w:r>
        <w:separator/>
      </w:r>
    </w:p>
  </w:endnote>
  <w:endnote w:type="continuationSeparator" w:id="0">
    <w:p w14:paraId="1C7B4237" w14:textId="77777777" w:rsidR="00B607B5" w:rsidRDefault="00B607B5" w:rsidP="000D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4434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285B56" w14:textId="6B1277A0" w:rsidR="00FE36C5" w:rsidRDefault="00E461F6">
            <w:pPr>
              <w:pStyle w:val="Footer"/>
              <w:jc w:val="right"/>
            </w:pPr>
            <w:r w:rsidRPr="00EE417B">
              <w:rPr>
                <w:b/>
                <w:bCs/>
              </w:rPr>
              <w:t>CSBG FY2027-28 SPIPA Abstract</w:t>
            </w:r>
            <w:r w:rsidR="008D1CFC">
              <w:tab/>
            </w:r>
            <w:r w:rsidR="008D1CFC">
              <w:tab/>
            </w:r>
            <w:r w:rsidR="00FE36C5">
              <w:t xml:space="preserve">Page </w:t>
            </w:r>
            <w:r w:rsidR="00FE36C5">
              <w:rPr>
                <w:b/>
                <w:bCs/>
                <w:sz w:val="24"/>
                <w:szCs w:val="24"/>
              </w:rPr>
              <w:fldChar w:fldCharType="begin"/>
            </w:r>
            <w:r w:rsidR="00FE36C5">
              <w:rPr>
                <w:b/>
                <w:bCs/>
              </w:rPr>
              <w:instrText xml:space="preserve"> PAGE </w:instrText>
            </w:r>
            <w:r w:rsidR="00FE36C5">
              <w:rPr>
                <w:b/>
                <w:bCs/>
                <w:sz w:val="24"/>
                <w:szCs w:val="24"/>
              </w:rPr>
              <w:fldChar w:fldCharType="separate"/>
            </w:r>
            <w:r w:rsidR="00FE36C5">
              <w:rPr>
                <w:b/>
                <w:bCs/>
                <w:noProof/>
              </w:rPr>
              <w:t>2</w:t>
            </w:r>
            <w:r w:rsidR="00FE36C5">
              <w:rPr>
                <w:b/>
                <w:bCs/>
                <w:sz w:val="24"/>
                <w:szCs w:val="24"/>
              </w:rPr>
              <w:fldChar w:fldCharType="end"/>
            </w:r>
            <w:r w:rsidR="00FE36C5">
              <w:t xml:space="preserve"> of </w:t>
            </w:r>
            <w:r w:rsidR="00FE36C5">
              <w:rPr>
                <w:b/>
                <w:bCs/>
                <w:sz w:val="24"/>
                <w:szCs w:val="24"/>
              </w:rPr>
              <w:fldChar w:fldCharType="begin"/>
            </w:r>
            <w:r w:rsidR="00FE36C5">
              <w:rPr>
                <w:b/>
                <w:bCs/>
              </w:rPr>
              <w:instrText xml:space="preserve"> NUMPAGES  </w:instrText>
            </w:r>
            <w:r w:rsidR="00FE36C5">
              <w:rPr>
                <w:b/>
                <w:bCs/>
                <w:sz w:val="24"/>
                <w:szCs w:val="24"/>
              </w:rPr>
              <w:fldChar w:fldCharType="separate"/>
            </w:r>
            <w:r w:rsidR="00FE36C5">
              <w:rPr>
                <w:b/>
                <w:bCs/>
                <w:noProof/>
              </w:rPr>
              <w:t>2</w:t>
            </w:r>
            <w:r w:rsidR="00FE36C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602F" w14:textId="77777777" w:rsidR="00B607B5" w:rsidRDefault="00B607B5" w:rsidP="000D74A1">
      <w:r>
        <w:separator/>
      </w:r>
    </w:p>
  </w:footnote>
  <w:footnote w:type="continuationSeparator" w:id="0">
    <w:p w14:paraId="40EBCF2E" w14:textId="77777777" w:rsidR="00B607B5" w:rsidRDefault="00B607B5" w:rsidP="000D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570787"/>
      <w:docPartObj>
        <w:docPartGallery w:val="Watermarks"/>
        <w:docPartUnique/>
      </w:docPartObj>
    </w:sdtPr>
    <w:sdtEndPr>
      <w:rPr>
        <w:sz w:val="20"/>
        <w:szCs w:val="20"/>
      </w:rPr>
    </w:sdtEndPr>
    <w:sdtContent>
      <w:p w14:paraId="3B7D6C71" w14:textId="02264FB4" w:rsidR="000D74A1" w:rsidRPr="00B934D4" w:rsidRDefault="000D74A1">
        <w:pPr>
          <w:pStyle w:val="Header"/>
          <w:rPr>
            <w:sz w:val="20"/>
            <w:szCs w:val="20"/>
          </w:rPr>
        </w:pPr>
        <w:r w:rsidRPr="00B934D4">
          <w:rPr>
            <w:noProof/>
            <w:sz w:val="20"/>
            <w:szCs w:val="20"/>
          </w:rPr>
          <w:pict w14:anchorId="794FE4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proofErr w:type="spellStart"/>
        <w:proofErr w:type="gramStart"/>
        <w:r w:rsidR="00B934D4" w:rsidRPr="00B934D4">
          <w:rPr>
            <w:sz w:val="20"/>
            <w:szCs w:val="20"/>
          </w:rPr>
          <w:t>Disclaimer:This</w:t>
        </w:r>
        <w:proofErr w:type="spellEnd"/>
        <w:proofErr w:type="gramEnd"/>
        <w:r w:rsidR="00B934D4" w:rsidRPr="00B934D4">
          <w:rPr>
            <w:sz w:val="20"/>
            <w:szCs w:val="20"/>
          </w:rPr>
          <w:t xml:space="preserve"> abstract is a planning and communication tool prepared by SPIPA staff. It is not a final commitment. Funding amounts are formula-based and not guaranteed. All new projects, after funding and prior to implementation, require an executed MOA between SPIPA and each participating Tribe.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02A6"/>
    <w:multiLevelType w:val="hybridMultilevel"/>
    <w:tmpl w:val="B84249EA"/>
    <w:lvl w:ilvl="0" w:tplc="11B83AB8">
      <w:start w:val="1"/>
      <w:numFmt w:val="bullet"/>
      <w:lvlText w:val="●"/>
      <w:lvlJc w:val="left"/>
      <w:pPr>
        <w:ind w:left="720" w:hanging="360"/>
      </w:pPr>
    </w:lvl>
    <w:lvl w:ilvl="1" w:tplc="F3AEE632">
      <w:start w:val="1"/>
      <w:numFmt w:val="bullet"/>
      <w:lvlText w:val="○"/>
      <w:lvlJc w:val="left"/>
      <w:pPr>
        <w:ind w:left="1440" w:hanging="360"/>
      </w:pPr>
    </w:lvl>
    <w:lvl w:ilvl="2" w:tplc="CCB4B58A">
      <w:start w:val="1"/>
      <w:numFmt w:val="bullet"/>
      <w:lvlText w:val="■"/>
      <w:lvlJc w:val="left"/>
      <w:pPr>
        <w:ind w:left="2160" w:hanging="360"/>
      </w:pPr>
    </w:lvl>
    <w:lvl w:ilvl="3" w:tplc="E5B60D44">
      <w:start w:val="1"/>
      <w:numFmt w:val="bullet"/>
      <w:lvlText w:val="●"/>
      <w:lvlJc w:val="left"/>
      <w:pPr>
        <w:ind w:left="2880" w:hanging="360"/>
      </w:pPr>
    </w:lvl>
    <w:lvl w:ilvl="4" w:tplc="2E386F52">
      <w:start w:val="1"/>
      <w:numFmt w:val="bullet"/>
      <w:lvlText w:val="○"/>
      <w:lvlJc w:val="left"/>
      <w:pPr>
        <w:ind w:left="3600" w:hanging="360"/>
      </w:pPr>
    </w:lvl>
    <w:lvl w:ilvl="5" w:tplc="F5F0933C">
      <w:start w:val="1"/>
      <w:numFmt w:val="bullet"/>
      <w:lvlText w:val="■"/>
      <w:lvlJc w:val="left"/>
      <w:pPr>
        <w:ind w:left="4320" w:hanging="360"/>
      </w:pPr>
    </w:lvl>
    <w:lvl w:ilvl="6" w:tplc="FCDC15FA">
      <w:start w:val="1"/>
      <w:numFmt w:val="bullet"/>
      <w:lvlText w:val="●"/>
      <w:lvlJc w:val="left"/>
      <w:pPr>
        <w:ind w:left="5040" w:hanging="360"/>
      </w:pPr>
    </w:lvl>
    <w:lvl w:ilvl="7" w:tplc="8A72D9D6">
      <w:start w:val="1"/>
      <w:numFmt w:val="bullet"/>
      <w:lvlText w:val="●"/>
      <w:lvlJc w:val="left"/>
      <w:pPr>
        <w:ind w:left="5760" w:hanging="360"/>
      </w:pPr>
    </w:lvl>
    <w:lvl w:ilvl="8" w:tplc="6126607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9D5C72"/>
    <w:multiLevelType w:val="hybridMultilevel"/>
    <w:tmpl w:val="ADE84476"/>
    <w:lvl w:ilvl="0" w:tplc="E500EB24">
      <w:start w:val="1"/>
      <w:numFmt w:val="bullet"/>
      <w:lvlText w:val="•"/>
      <w:lvlJc w:val="left"/>
      <w:pPr>
        <w:ind w:left="720" w:hanging="360"/>
      </w:pPr>
    </w:lvl>
    <w:lvl w:ilvl="1" w:tplc="5A8AE4C8">
      <w:numFmt w:val="decimal"/>
      <w:lvlText w:val=""/>
      <w:lvlJc w:val="left"/>
    </w:lvl>
    <w:lvl w:ilvl="2" w:tplc="4954943C">
      <w:numFmt w:val="decimal"/>
      <w:lvlText w:val=""/>
      <w:lvlJc w:val="left"/>
    </w:lvl>
    <w:lvl w:ilvl="3" w:tplc="371E0696">
      <w:numFmt w:val="decimal"/>
      <w:lvlText w:val=""/>
      <w:lvlJc w:val="left"/>
    </w:lvl>
    <w:lvl w:ilvl="4" w:tplc="E1589D6A">
      <w:numFmt w:val="decimal"/>
      <w:lvlText w:val=""/>
      <w:lvlJc w:val="left"/>
    </w:lvl>
    <w:lvl w:ilvl="5" w:tplc="7C8A1C00">
      <w:numFmt w:val="decimal"/>
      <w:lvlText w:val=""/>
      <w:lvlJc w:val="left"/>
    </w:lvl>
    <w:lvl w:ilvl="6" w:tplc="B0424014">
      <w:numFmt w:val="decimal"/>
      <w:lvlText w:val=""/>
      <w:lvlJc w:val="left"/>
    </w:lvl>
    <w:lvl w:ilvl="7" w:tplc="9EDCF1FA">
      <w:numFmt w:val="decimal"/>
      <w:lvlText w:val=""/>
      <w:lvlJc w:val="left"/>
    </w:lvl>
    <w:lvl w:ilvl="8" w:tplc="AC142C1E">
      <w:numFmt w:val="decimal"/>
      <w:lvlText w:val=""/>
      <w:lvlJc w:val="left"/>
    </w:lvl>
  </w:abstractNum>
  <w:num w:numId="1" w16cid:durableId="673725831">
    <w:abstractNumId w:val="0"/>
    <w:lvlOverride w:ilvl="0">
      <w:startOverride w:val="1"/>
    </w:lvlOverride>
  </w:num>
  <w:num w:numId="2" w16cid:durableId="146643640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46"/>
    <w:rsid w:val="000D74A1"/>
    <w:rsid w:val="003775AF"/>
    <w:rsid w:val="004A3A08"/>
    <w:rsid w:val="007D3FC3"/>
    <w:rsid w:val="008D1CFC"/>
    <w:rsid w:val="00956D01"/>
    <w:rsid w:val="00995001"/>
    <w:rsid w:val="00B607B5"/>
    <w:rsid w:val="00B934D4"/>
    <w:rsid w:val="00E260C7"/>
    <w:rsid w:val="00E461F6"/>
    <w:rsid w:val="00EE417B"/>
    <w:rsid w:val="00F26576"/>
    <w:rsid w:val="00F50B16"/>
    <w:rsid w:val="00F95C46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AFE0"/>
  <w15:docId w15:val="{FCF37C02-B992-44C8-A556-A74A285C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outlineLvl w:val="0"/>
    </w:pPr>
    <w:rPr>
      <w:b/>
      <w:bCs/>
      <w:sz w:val="30"/>
      <w:szCs w:val="30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A1"/>
  </w:style>
  <w:style w:type="paragraph" w:styleId="Footer">
    <w:name w:val="footer"/>
    <w:basedOn w:val="Normal"/>
    <w:link w:val="FooterChar"/>
    <w:uiPriority w:val="99"/>
    <w:unhideWhenUsed/>
    <w:rsid w:val="000D7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6613b-1ce7-4e5a-b7e6-9baa5288ae30" xsi:nil="true"/>
    <lcf76f155ced4ddcb4097134ff3c332f xmlns="8b189914-738b-4e44-b188-18f103c56e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852B5C37664CB94427EC625BF512" ma:contentTypeVersion="14" ma:contentTypeDescription="Create a new document." ma:contentTypeScope="" ma:versionID="d469a2765f1c08fc1a94f676c7fa11d0">
  <xsd:schema xmlns:xsd="http://www.w3.org/2001/XMLSchema" xmlns:xs="http://www.w3.org/2001/XMLSchema" xmlns:p="http://schemas.microsoft.com/office/2006/metadata/properties" xmlns:ns2="8b189914-738b-4e44-b188-18f103c56ee1" xmlns:ns3="7b06613b-1ce7-4e5a-b7e6-9baa5288ae30" targetNamespace="http://schemas.microsoft.com/office/2006/metadata/properties" ma:root="true" ma:fieldsID="627b1977a9f9aa1441d15f82bf735d7c" ns2:_="" ns3:_="">
    <xsd:import namespace="8b189914-738b-4e44-b188-18f103c56ee1"/>
    <xsd:import namespace="7b06613b-1ce7-4e5a-b7e6-9baa5288ae3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89914-738b-4e44-b188-18f103c56e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04372a8-c232-43b9-ae97-32898c63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613b-1ce7-4e5a-b7e6-9baa5288ae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b92a7b-e9b9-465c-a875-3d708a4e9afa}" ma:internalName="TaxCatchAll" ma:showField="CatchAllData" ma:web="7b06613b-1ce7-4e5a-b7e6-9baa5288a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12D90-5D21-44D5-AF39-4A23708494D2}">
  <ds:schemaRefs>
    <ds:schemaRef ds:uri="http://schemas.microsoft.com/office/2006/metadata/properties"/>
    <ds:schemaRef ds:uri="http://schemas.microsoft.com/office/infopath/2007/PartnerControls"/>
    <ds:schemaRef ds:uri="7b06613b-1ce7-4e5a-b7e6-9baa5288ae30"/>
    <ds:schemaRef ds:uri="8b189914-738b-4e44-b188-18f103c56ee1"/>
  </ds:schemaRefs>
</ds:datastoreItem>
</file>

<file path=customXml/itemProps2.xml><?xml version="1.0" encoding="utf-8"?>
<ds:datastoreItem xmlns:ds="http://schemas.openxmlformats.org/officeDocument/2006/customXml" ds:itemID="{C1CB0E52-1B29-4ED6-A616-1B8A699D9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59C5F-04CD-4662-8D84-2F9E263B7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89914-738b-4e44-b188-18f103c56ee1"/>
    <ds:schemaRef ds:uri="7b06613b-1ce7-4e5a-b7e6-9baa5288a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Joseph Reyes</cp:lastModifiedBy>
  <cp:revision>14</cp:revision>
  <dcterms:created xsi:type="dcterms:W3CDTF">2026-04-24T16:27:00Z</dcterms:created>
  <dcterms:modified xsi:type="dcterms:W3CDTF">2026-04-24T16:40:00Z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0x0101009102852B5C37664CB94427EC625BF512</vt:lpwstr>
  </property>
  <property fmtid="{D5CDD505-2E9C-101B-9397-08002B2CF9AE}" pid="3" name="MediaServiceImageTags">
    <vt:lpwstr/>
  </property>
</Properties>
</file>