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6C62" w14:textId="77777777" w:rsidR="00122254" w:rsidRPr="00122254" w:rsidRDefault="00122254" w:rsidP="00122254">
      <w:pPr>
        <w:spacing w:after="120" w:line="240" w:lineRule="auto"/>
        <w:jc w:val="center"/>
        <w:rPr>
          <w:rFonts w:ascii="Arial" w:eastAsia="Arial" w:hAnsi="Arial" w:cs="Arial"/>
          <w:kern w:val="0"/>
          <w:sz w:val="22"/>
          <w:szCs w:val="22"/>
          <w14:ligatures w14:val="none"/>
        </w:rPr>
      </w:pPr>
      <w:r w:rsidRPr="00122254">
        <w:rPr>
          <w:rFonts w:ascii="Arial" w:eastAsia="Arial" w:hAnsi="Arial" w:cs="Arial"/>
          <w:b/>
          <w:bCs/>
          <w:kern w:val="0"/>
          <w:sz w:val="32"/>
          <w:szCs w:val="32"/>
          <w14:ligatures w14:val="none"/>
        </w:rPr>
        <w:t>Executive Summary</w:t>
      </w:r>
    </w:p>
    <w:p w14:paraId="5F92B495" w14:textId="77777777" w:rsidR="00122254" w:rsidRPr="00122254" w:rsidRDefault="00122254" w:rsidP="00122254">
      <w:pPr>
        <w:spacing w:after="240" w:line="240" w:lineRule="auto"/>
        <w:jc w:val="center"/>
        <w:rPr>
          <w:rFonts w:ascii="Arial" w:eastAsia="Arial" w:hAnsi="Arial" w:cs="Arial"/>
          <w:kern w:val="0"/>
          <w:sz w:val="22"/>
          <w:szCs w:val="22"/>
          <w14:ligatures w14:val="none"/>
        </w:rPr>
      </w:pPr>
      <w:r w:rsidRPr="00122254">
        <w:rPr>
          <w:rFonts w:ascii="Arial" w:eastAsia="Arial" w:hAnsi="Arial" w:cs="Arial"/>
          <w:i/>
          <w:iCs/>
          <w:kern w:val="0"/>
          <w:sz w:val="22"/>
          <w:szCs w:val="22"/>
          <w14:ligatures w14:val="none"/>
        </w:rPr>
        <w:t>CSBG Tribal Plan and Application — FY2027–FY2028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122254" w:rsidRPr="00122254" w14:paraId="005BE130" w14:textId="77777777" w:rsidTr="00C7181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1A268ED3" w14:textId="77777777" w:rsidR="00122254" w:rsidRPr="00122254" w:rsidRDefault="00122254" w:rsidP="00122254">
            <w:pPr>
              <w:spacing w:after="0" w:line="240" w:lineRule="auto"/>
              <w:rPr>
                <w:rFonts w:ascii="Arial" w:eastAsia="Arial" w:hAnsi="Arial" w:cs="Arial"/>
                <w:kern w:val="0"/>
                <w:sz w:val="22"/>
                <w:szCs w:val="22"/>
                <w14:ligatures w14:val="none"/>
              </w:rPr>
            </w:pPr>
            <w:r w:rsidRPr="00122254">
              <w:rPr>
                <w:rFonts w:ascii="Arial" w:eastAsia="Arial" w:hAnsi="Arial" w:cs="Arial"/>
                <w:b/>
                <w:bCs/>
                <w:kern w:val="0"/>
                <w:sz w:val="22"/>
                <w:szCs w:val="22"/>
                <w14:ligatures w14:val="none"/>
              </w:rPr>
              <w:t>Program</w:t>
            </w:r>
          </w:p>
        </w:tc>
        <w:tc>
          <w:tcPr>
            <w:tcW w:w="6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41EE32" w14:textId="77777777" w:rsidR="00122254" w:rsidRPr="00122254" w:rsidRDefault="00122254" w:rsidP="00122254">
            <w:pPr>
              <w:spacing w:after="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Community Services Block Grant (CSBG) Tribal Plan and Application</w:t>
            </w:r>
          </w:p>
        </w:tc>
      </w:tr>
      <w:tr w:rsidR="00122254" w:rsidRPr="00122254" w14:paraId="340C4BEA" w14:textId="77777777" w:rsidTr="00C7181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5FDAACED" w14:textId="77777777" w:rsidR="00122254" w:rsidRPr="00122254" w:rsidRDefault="00122254" w:rsidP="00122254">
            <w:pPr>
              <w:spacing w:after="0" w:line="240" w:lineRule="auto"/>
              <w:rPr>
                <w:rFonts w:ascii="Arial" w:eastAsia="Arial" w:hAnsi="Arial" w:cs="Arial"/>
                <w:kern w:val="0"/>
                <w:sz w:val="22"/>
                <w:szCs w:val="22"/>
                <w14:ligatures w14:val="none"/>
              </w:rPr>
            </w:pPr>
            <w:r w:rsidRPr="00122254">
              <w:rPr>
                <w:rFonts w:ascii="Arial" w:eastAsia="Arial" w:hAnsi="Arial" w:cs="Arial"/>
                <w:b/>
                <w:bCs/>
                <w:kern w:val="0"/>
                <w:sz w:val="22"/>
                <w:szCs w:val="22"/>
                <w14:ligatures w14:val="none"/>
              </w:rPr>
              <w:t>Funding agency</w:t>
            </w:r>
          </w:p>
        </w:tc>
        <w:tc>
          <w:tcPr>
            <w:tcW w:w="6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28ECAB" w14:textId="77777777" w:rsidR="00122254" w:rsidRPr="00122254" w:rsidRDefault="00122254" w:rsidP="00122254">
            <w:pPr>
              <w:spacing w:after="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ACF / Office of Community Services</w:t>
            </w:r>
          </w:p>
        </w:tc>
      </w:tr>
      <w:tr w:rsidR="00122254" w:rsidRPr="00122254" w14:paraId="2CAC44D1" w14:textId="77777777" w:rsidTr="00C7181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56C92A25" w14:textId="77777777" w:rsidR="00122254" w:rsidRPr="00122254" w:rsidRDefault="00122254" w:rsidP="00122254">
            <w:pPr>
              <w:spacing w:after="0" w:line="240" w:lineRule="auto"/>
              <w:rPr>
                <w:rFonts w:ascii="Arial" w:eastAsia="Arial" w:hAnsi="Arial" w:cs="Arial"/>
                <w:kern w:val="0"/>
                <w:sz w:val="22"/>
                <w:szCs w:val="22"/>
                <w14:ligatures w14:val="none"/>
              </w:rPr>
            </w:pPr>
            <w:r w:rsidRPr="00122254">
              <w:rPr>
                <w:rFonts w:ascii="Arial" w:eastAsia="Arial" w:hAnsi="Arial" w:cs="Arial"/>
                <w:b/>
                <w:bCs/>
                <w:kern w:val="0"/>
                <w:sz w:val="22"/>
                <w:szCs w:val="22"/>
                <w14:ligatures w14:val="none"/>
              </w:rPr>
              <w:t>Period of performance</w:t>
            </w:r>
          </w:p>
        </w:tc>
        <w:tc>
          <w:tcPr>
            <w:tcW w:w="6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62BAFC" w14:textId="77777777" w:rsidR="00122254" w:rsidRPr="00122254" w:rsidRDefault="00122254" w:rsidP="00122254">
            <w:pPr>
              <w:spacing w:after="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October 1, 2026 – September 30, 2028 (FY2027–FY2028)</w:t>
            </w:r>
          </w:p>
        </w:tc>
      </w:tr>
      <w:tr w:rsidR="00122254" w:rsidRPr="00122254" w14:paraId="0AB0846B" w14:textId="77777777" w:rsidTr="00C7181B">
        <w:tblPrEx>
          <w:tblCellMar>
            <w:top w:w="0" w:type="dxa"/>
            <w:bottom w:w="0" w:type="dxa"/>
          </w:tblCellMar>
        </w:tblPrEx>
        <w:tc>
          <w:tcPr>
            <w:tcW w:w="2880" w:type="dxa"/>
            <w:tcBorders>
              <w:top w:val="single" w:sz="1" w:space="0" w:color="CCCCCC"/>
              <w:left w:val="single" w:sz="1" w:space="0" w:color="CCCCCC"/>
              <w:bottom w:val="single" w:sz="1" w:space="0" w:color="CCCCCC"/>
              <w:right w:val="single" w:sz="1" w:space="0" w:color="CCCCCC"/>
            </w:tcBorders>
            <w:shd w:val="clear" w:color="auto" w:fill="E8EEF4"/>
            <w:tcMar>
              <w:top w:w="80" w:type="dxa"/>
              <w:left w:w="120" w:type="dxa"/>
              <w:bottom w:w="80" w:type="dxa"/>
              <w:right w:w="120" w:type="dxa"/>
            </w:tcMar>
          </w:tcPr>
          <w:p w14:paraId="67D8D5B9" w14:textId="77777777" w:rsidR="00122254" w:rsidRPr="00122254" w:rsidRDefault="00122254" w:rsidP="00122254">
            <w:pPr>
              <w:spacing w:after="0" w:line="240" w:lineRule="auto"/>
              <w:rPr>
                <w:rFonts w:ascii="Arial" w:eastAsia="Arial" w:hAnsi="Arial" w:cs="Arial"/>
                <w:kern w:val="0"/>
                <w:sz w:val="22"/>
                <w:szCs w:val="22"/>
                <w14:ligatures w14:val="none"/>
              </w:rPr>
            </w:pPr>
            <w:r w:rsidRPr="00122254">
              <w:rPr>
                <w:rFonts w:ascii="Arial" w:eastAsia="Arial" w:hAnsi="Arial" w:cs="Arial"/>
                <w:b/>
                <w:bCs/>
                <w:kern w:val="0"/>
                <w:sz w:val="22"/>
                <w:szCs w:val="22"/>
                <w14:ligatures w14:val="none"/>
              </w:rPr>
              <w:t>Applicant</w:t>
            </w:r>
          </w:p>
        </w:tc>
        <w:tc>
          <w:tcPr>
            <w:tcW w:w="6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8C0535" w14:textId="77777777" w:rsidR="00122254" w:rsidRPr="00122254" w:rsidRDefault="00122254" w:rsidP="00122254">
            <w:pPr>
              <w:spacing w:after="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 xml:space="preserve">South Puget Intertribal Planning Agency (SPIPA), on behalf of Chehalis, Nisqually, </w:t>
            </w:r>
            <w:proofErr w:type="spellStart"/>
            <w:r w:rsidRPr="00122254">
              <w:rPr>
                <w:rFonts w:ascii="Arial" w:eastAsia="Arial" w:hAnsi="Arial" w:cs="Arial"/>
                <w:kern w:val="0"/>
                <w:sz w:val="22"/>
                <w:szCs w:val="22"/>
                <w14:ligatures w14:val="none"/>
              </w:rPr>
              <w:t>Shoalwater</w:t>
            </w:r>
            <w:proofErr w:type="spellEnd"/>
            <w:r w:rsidRPr="00122254">
              <w:rPr>
                <w:rFonts w:ascii="Arial" w:eastAsia="Arial" w:hAnsi="Arial" w:cs="Arial"/>
                <w:kern w:val="0"/>
                <w:sz w:val="22"/>
                <w:szCs w:val="22"/>
                <w14:ligatures w14:val="none"/>
              </w:rPr>
              <w:t xml:space="preserve"> Bay, Skokomish, and Squaxin Island Tribes</w:t>
            </w:r>
          </w:p>
        </w:tc>
      </w:tr>
    </w:tbl>
    <w:p w14:paraId="30D4BF42" w14:textId="77777777" w:rsidR="00122254" w:rsidRPr="00122254" w:rsidRDefault="00122254" w:rsidP="00122254">
      <w:pPr>
        <w:spacing w:after="120" w:line="240" w:lineRule="auto"/>
        <w:rPr>
          <w:rFonts w:ascii="Arial" w:eastAsia="Arial" w:hAnsi="Arial" w:cs="Arial"/>
          <w:kern w:val="0"/>
          <w:sz w:val="22"/>
          <w:szCs w:val="22"/>
          <w14:ligatures w14:val="none"/>
        </w:rPr>
      </w:pPr>
    </w:p>
    <w:p w14:paraId="6CBA1E44" w14:textId="77777777" w:rsidR="00122254" w:rsidRPr="00122254" w:rsidRDefault="00122254" w:rsidP="00122254">
      <w:pPr>
        <w:spacing w:before="200" w:after="100" w:line="240" w:lineRule="auto"/>
        <w:outlineLvl w:val="1"/>
        <w:rPr>
          <w:rFonts w:ascii="Arial" w:eastAsia="Arial" w:hAnsi="Arial" w:cs="Arial"/>
          <w:b/>
          <w:bCs/>
          <w:kern w:val="0"/>
          <w14:ligatures w14:val="none"/>
        </w:rPr>
      </w:pPr>
      <w:r w:rsidRPr="00122254">
        <w:rPr>
          <w:rFonts w:ascii="Arial" w:eastAsia="Arial" w:hAnsi="Arial" w:cs="Arial"/>
          <w:b/>
          <w:bCs/>
          <w:kern w:val="0"/>
          <w14:ligatures w14:val="none"/>
        </w:rPr>
        <w:t>Recommendation</w:t>
      </w:r>
    </w:p>
    <w:p w14:paraId="3B2807FF"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SPIPA recommends submitting the CSBG Tribal Plan and Application for FY2027–FY2028 as lead applicant on behalf of the five consortium Tribes. This is a continuation of long-standing CSBG programming, funded by formula, and delivered by each Tribe through its own Family or Social Services Department. No new model is being proposed.</w:t>
      </w:r>
    </w:p>
    <w:p w14:paraId="09C78DB1" w14:textId="77777777" w:rsidR="00122254" w:rsidRPr="00122254" w:rsidRDefault="00122254" w:rsidP="00122254">
      <w:pPr>
        <w:spacing w:before="200" w:after="100" w:line="240" w:lineRule="auto"/>
        <w:outlineLvl w:val="1"/>
        <w:rPr>
          <w:rFonts w:ascii="Arial" w:eastAsia="Arial" w:hAnsi="Arial" w:cs="Arial"/>
          <w:b/>
          <w:bCs/>
          <w:kern w:val="0"/>
          <w14:ligatures w14:val="none"/>
        </w:rPr>
      </w:pPr>
      <w:r w:rsidRPr="00122254">
        <w:rPr>
          <w:rFonts w:ascii="Arial" w:eastAsia="Arial" w:hAnsi="Arial" w:cs="Arial"/>
          <w:b/>
          <w:bCs/>
          <w:kern w:val="0"/>
          <w14:ligatures w14:val="none"/>
        </w:rPr>
        <w:t>Why this matters to Tribes</w:t>
      </w:r>
    </w:p>
    <w:p w14:paraId="479380CA"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 xml:space="preserve">CSBG is one of the most flexible funding streams SPIPA administers. Each Tribe decides how its share is spent — emergency rent, utilities, food, transportation, </w:t>
      </w:r>
      <w:proofErr w:type="gramStart"/>
      <w:r w:rsidRPr="00122254">
        <w:rPr>
          <w:rFonts w:ascii="Arial" w:eastAsia="Arial" w:hAnsi="Arial" w:cs="Arial"/>
          <w:kern w:val="0"/>
          <w:sz w:val="22"/>
          <w:szCs w:val="22"/>
          <w14:ligatures w14:val="none"/>
        </w:rPr>
        <w:t>Elder</w:t>
      </w:r>
      <w:proofErr w:type="gramEnd"/>
      <w:r w:rsidRPr="00122254">
        <w:rPr>
          <w:rFonts w:ascii="Arial" w:eastAsia="Arial" w:hAnsi="Arial" w:cs="Arial"/>
          <w:kern w:val="0"/>
          <w:sz w:val="22"/>
          <w:szCs w:val="22"/>
          <w14:ligatures w14:val="none"/>
        </w:rPr>
        <w:t xml:space="preserve"> support, youth programming, or other anti-poverty work that fits the community. The arrangement supports self-determination: Tribes set </w:t>
      </w:r>
      <w:proofErr w:type="gramStart"/>
      <w:r w:rsidRPr="00122254">
        <w:rPr>
          <w:rFonts w:ascii="Arial" w:eastAsia="Arial" w:hAnsi="Arial" w:cs="Arial"/>
          <w:kern w:val="0"/>
          <w:sz w:val="22"/>
          <w:szCs w:val="22"/>
          <w14:ligatures w14:val="none"/>
        </w:rPr>
        <w:t>the priorities</w:t>
      </w:r>
      <w:proofErr w:type="gramEnd"/>
      <w:r w:rsidRPr="00122254">
        <w:rPr>
          <w:rFonts w:ascii="Arial" w:eastAsia="Arial" w:hAnsi="Arial" w:cs="Arial"/>
          <w:kern w:val="0"/>
          <w:sz w:val="22"/>
          <w:szCs w:val="22"/>
          <w14:ligatures w14:val="none"/>
        </w:rPr>
        <w:t>; SPIPA handles the federal paperwork and fiscal compliance. This complements 477 and other Tribal programs rather than competing with them.</w:t>
      </w:r>
    </w:p>
    <w:p w14:paraId="00C095C9" w14:textId="77777777" w:rsidR="00122254" w:rsidRPr="00122254" w:rsidRDefault="00122254" w:rsidP="00122254">
      <w:pPr>
        <w:spacing w:before="200" w:after="100" w:line="240" w:lineRule="auto"/>
        <w:outlineLvl w:val="1"/>
        <w:rPr>
          <w:rFonts w:ascii="Arial" w:eastAsia="Arial" w:hAnsi="Arial" w:cs="Arial"/>
          <w:b/>
          <w:bCs/>
          <w:kern w:val="0"/>
          <w14:ligatures w14:val="none"/>
        </w:rPr>
      </w:pPr>
      <w:r w:rsidRPr="00122254">
        <w:rPr>
          <w:rFonts w:ascii="Arial" w:eastAsia="Arial" w:hAnsi="Arial" w:cs="Arial"/>
          <w:b/>
          <w:bCs/>
          <w:kern w:val="0"/>
          <w14:ligatures w14:val="none"/>
        </w:rPr>
        <w:t>Funding picture</w:t>
      </w:r>
    </w:p>
    <w:p w14:paraId="773EEFAC"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 xml:space="preserve">CSBG is a formula grant. The amount is set by ACF based on the statutory formula and is not guaranteed </w:t>
      </w:r>
      <w:proofErr w:type="gramStart"/>
      <w:r w:rsidRPr="00122254">
        <w:rPr>
          <w:rFonts w:ascii="Arial" w:eastAsia="Arial" w:hAnsi="Arial" w:cs="Arial"/>
          <w:kern w:val="0"/>
          <w:sz w:val="22"/>
          <w:szCs w:val="22"/>
          <w14:ligatures w14:val="none"/>
        </w:rPr>
        <w:t>until</w:t>
      </w:r>
      <w:proofErr w:type="gramEnd"/>
      <w:r w:rsidRPr="00122254">
        <w:rPr>
          <w:rFonts w:ascii="Arial" w:eastAsia="Arial" w:hAnsi="Arial" w:cs="Arial"/>
          <w:kern w:val="0"/>
          <w:sz w:val="22"/>
          <w:szCs w:val="22"/>
          <w14:ligatures w14:val="none"/>
        </w:rPr>
        <w:t xml:space="preserve"> awarded. Recent SPIPA CSBG allotments are useful planning reference points only:</w:t>
      </w:r>
    </w:p>
    <w:p w14:paraId="447D8768" w14:textId="77777777" w:rsidR="00122254" w:rsidRPr="00122254" w:rsidRDefault="00122254" w:rsidP="00122254">
      <w:pPr>
        <w:numPr>
          <w:ilvl w:val="0"/>
          <w:numId w:val="3"/>
        </w:numPr>
        <w:spacing w:after="6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[Insert FY2025 allotment — confirm with Fiscal]</w:t>
      </w:r>
    </w:p>
    <w:p w14:paraId="1EC071C8" w14:textId="77777777" w:rsidR="00122254" w:rsidRPr="00122254" w:rsidRDefault="00122254" w:rsidP="00122254">
      <w:pPr>
        <w:numPr>
          <w:ilvl w:val="0"/>
          <w:numId w:val="3"/>
        </w:numPr>
        <w:spacing w:after="6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[Insert FY2024 allotment — confirm with Fiscal]</w:t>
      </w:r>
    </w:p>
    <w:p w14:paraId="57D9C6B1" w14:textId="77777777" w:rsidR="00122254" w:rsidRPr="00122254" w:rsidRDefault="00122254" w:rsidP="00122254">
      <w:pPr>
        <w:numPr>
          <w:ilvl w:val="0"/>
          <w:numId w:val="3"/>
        </w:numPr>
        <w:spacing w:after="6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[Insert FY2023 allotment — confirm with Fiscal]</w:t>
      </w:r>
    </w:p>
    <w:p w14:paraId="58A8679D"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i/>
          <w:iCs/>
          <w:kern w:val="0"/>
          <w:sz w:val="22"/>
          <w:szCs w:val="22"/>
          <w14:ligatures w14:val="none"/>
        </w:rPr>
        <w:t>Past amounts are not forecasts. The actual FY2027 and FY2028 amounts will be set by ACF.</w:t>
      </w:r>
    </w:p>
    <w:p w14:paraId="4F9BE0C7" w14:textId="77777777" w:rsidR="00122254" w:rsidRPr="00122254" w:rsidRDefault="00122254" w:rsidP="00122254">
      <w:pPr>
        <w:spacing w:before="200" w:after="100" w:line="240" w:lineRule="auto"/>
        <w:outlineLvl w:val="1"/>
        <w:rPr>
          <w:rFonts w:ascii="Arial" w:eastAsia="Arial" w:hAnsi="Arial" w:cs="Arial"/>
          <w:b/>
          <w:bCs/>
          <w:kern w:val="0"/>
          <w14:ligatures w14:val="none"/>
        </w:rPr>
      </w:pPr>
      <w:r w:rsidRPr="00122254">
        <w:rPr>
          <w:rFonts w:ascii="Arial" w:eastAsia="Arial" w:hAnsi="Arial" w:cs="Arial"/>
          <w:b/>
          <w:bCs/>
          <w:kern w:val="0"/>
          <w14:ligatures w14:val="none"/>
        </w:rPr>
        <w:t>Why SPIPA is positioned to do this</w:t>
      </w:r>
    </w:p>
    <w:p w14:paraId="2A0B1DF7"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SPIPA has administered CSBG for the consortium Tribes for decades. The infrastructure is in place: MOAs with each Tribe, a centralized Fiscal Services Department, a Family and Community Resources Programs Manager who coordinates directly with Tribal staff, and an approved lower indirect rate that keeps more of the award in program services. Single Audit and federal compliance are current.</w:t>
      </w:r>
    </w:p>
    <w:p w14:paraId="0789673F" w14:textId="77777777" w:rsidR="00122254" w:rsidRPr="00122254" w:rsidRDefault="00122254" w:rsidP="00122254">
      <w:pPr>
        <w:spacing w:before="200" w:after="100" w:line="240" w:lineRule="auto"/>
        <w:outlineLvl w:val="1"/>
        <w:rPr>
          <w:rFonts w:ascii="Arial" w:eastAsia="Arial" w:hAnsi="Arial" w:cs="Arial"/>
          <w:b/>
          <w:bCs/>
          <w:kern w:val="0"/>
          <w14:ligatures w14:val="none"/>
        </w:rPr>
      </w:pPr>
      <w:r w:rsidRPr="00122254">
        <w:rPr>
          <w:rFonts w:ascii="Arial" w:eastAsia="Arial" w:hAnsi="Arial" w:cs="Arial"/>
          <w:b/>
          <w:bCs/>
          <w:kern w:val="0"/>
          <w14:ligatures w14:val="none"/>
        </w:rPr>
        <w:t>Application lift</w:t>
      </w:r>
    </w:p>
    <w:p w14:paraId="3D4A9F8C"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 xml:space="preserve">Standard ACF Tribal Plan submission. The application is moderate in size — eight sections, narrative caps of 5,000 characters each, and a short set of attachments (Tribal resolutions, SPIPA Board resolution, Single Audit). The biggest lift is not the form; it is the upfront </w:t>
      </w:r>
      <w:r w:rsidRPr="00122254">
        <w:rPr>
          <w:rFonts w:ascii="Arial" w:eastAsia="Arial" w:hAnsi="Arial" w:cs="Arial"/>
          <w:kern w:val="0"/>
          <w:sz w:val="22"/>
          <w:szCs w:val="22"/>
          <w14:ligatures w14:val="none"/>
        </w:rPr>
        <w:lastRenderedPageBreak/>
        <w:t>consultation with all five Tribes and collecting one Tribal Council resolution from each covering the full two-year plan period. Nothing about this application path is unusual for SPIPA.</w:t>
      </w:r>
    </w:p>
    <w:p w14:paraId="72D79885" w14:textId="77777777" w:rsidR="00122254" w:rsidRPr="00122254" w:rsidRDefault="00122254" w:rsidP="00122254">
      <w:pPr>
        <w:spacing w:before="200" w:after="100" w:line="240" w:lineRule="auto"/>
        <w:outlineLvl w:val="1"/>
        <w:rPr>
          <w:rFonts w:ascii="Arial" w:eastAsia="Arial" w:hAnsi="Arial" w:cs="Arial"/>
          <w:b/>
          <w:bCs/>
          <w:kern w:val="0"/>
          <w14:ligatures w14:val="none"/>
        </w:rPr>
      </w:pPr>
      <w:r w:rsidRPr="00122254">
        <w:rPr>
          <w:rFonts w:ascii="Arial" w:eastAsia="Arial" w:hAnsi="Arial" w:cs="Arial"/>
          <w:b/>
          <w:bCs/>
          <w:kern w:val="0"/>
          <w14:ligatures w14:val="none"/>
        </w:rPr>
        <w:t>Why it has value beyond one year</w:t>
      </w:r>
    </w:p>
    <w:p w14:paraId="54031E47"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ACF allows a two-year CSBG Tribal Plan. Submitting a two-year plan covers FY2027 and FY2028 with a single application, a single round of Tribal resolutions, and a single Board action. Annual reporting still applies, but the planning and approval cycle is cut roughly in half over the two-year period.</w:t>
      </w:r>
    </w:p>
    <w:p w14:paraId="16AD5C4B" w14:textId="77777777" w:rsidR="00122254" w:rsidRPr="00122254" w:rsidRDefault="00122254" w:rsidP="00122254">
      <w:pPr>
        <w:spacing w:before="200" w:after="100" w:line="240" w:lineRule="auto"/>
        <w:outlineLvl w:val="1"/>
        <w:rPr>
          <w:rFonts w:ascii="Arial" w:eastAsia="Arial" w:hAnsi="Arial" w:cs="Arial"/>
          <w:b/>
          <w:bCs/>
          <w:kern w:val="0"/>
          <w14:ligatures w14:val="none"/>
        </w:rPr>
      </w:pPr>
      <w:r w:rsidRPr="00122254">
        <w:rPr>
          <w:rFonts w:ascii="Arial" w:eastAsia="Arial" w:hAnsi="Arial" w:cs="Arial"/>
          <w:b/>
          <w:bCs/>
          <w:kern w:val="0"/>
          <w14:ligatures w14:val="none"/>
        </w:rPr>
        <w:t>What leadership needs to decide</w:t>
      </w:r>
    </w:p>
    <w:p w14:paraId="13BA5C33"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Before SPIPA submits, the following need to be completed:</w:t>
      </w:r>
    </w:p>
    <w:p w14:paraId="6F6FD7C8" w14:textId="77777777" w:rsidR="00122254" w:rsidRPr="00122254" w:rsidRDefault="00122254" w:rsidP="00122254">
      <w:pPr>
        <w:numPr>
          <w:ilvl w:val="0"/>
          <w:numId w:val="3"/>
        </w:numPr>
        <w:spacing w:after="6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Consultation with all five consortium Tribes, including the opportunity for any Tribe to request no-compete.</w:t>
      </w:r>
    </w:p>
    <w:p w14:paraId="30B609E5" w14:textId="77777777" w:rsidR="00122254" w:rsidRPr="00122254" w:rsidRDefault="00122254" w:rsidP="00122254">
      <w:pPr>
        <w:numPr>
          <w:ilvl w:val="0"/>
          <w:numId w:val="3"/>
        </w:numPr>
        <w:spacing w:after="6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A Tribal Council resolution from each participating Tribe authorizing SPIPA to apply for and administer CSBG funds on the Tribe's behalf for 10/1/2026–9/30/2028.</w:t>
      </w:r>
    </w:p>
    <w:p w14:paraId="52A661F1" w14:textId="77777777" w:rsidR="00122254" w:rsidRPr="00122254" w:rsidRDefault="00122254" w:rsidP="00122254">
      <w:pPr>
        <w:numPr>
          <w:ilvl w:val="0"/>
          <w:numId w:val="3"/>
        </w:numPr>
        <w:spacing w:after="6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Fiscal Services written budget approval.</w:t>
      </w:r>
    </w:p>
    <w:p w14:paraId="54084CE4" w14:textId="77777777" w:rsidR="00122254" w:rsidRPr="00122254" w:rsidRDefault="00122254" w:rsidP="00122254">
      <w:pPr>
        <w:numPr>
          <w:ilvl w:val="0"/>
          <w:numId w:val="3"/>
        </w:numPr>
        <w:spacing w:after="6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Leadership Team review of the full application package.</w:t>
      </w:r>
    </w:p>
    <w:p w14:paraId="5D7AA7B5" w14:textId="77777777" w:rsidR="00122254" w:rsidRPr="00122254" w:rsidRDefault="00122254" w:rsidP="00122254">
      <w:pPr>
        <w:numPr>
          <w:ilvl w:val="0"/>
          <w:numId w:val="3"/>
        </w:numPr>
        <w:spacing w:after="6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SPIPA Board resolution authorizing submission.</w:t>
      </w:r>
    </w:p>
    <w:p w14:paraId="4580C5A3"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If any Tribe requests no-compete, the application does not move forward. If any Tribe declines or does not respond, SPIPA reconfirms whether a viable application exists with the remaining Tribes and brings that back to leadership before submitting.</w:t>
      </w:r>
    </w:p>
    <w:p w14:paraId="782AD3DB" w14:textId="77777777" w:rsidR="00122254" w:rsidRPr="00122254" w:rsidRDefault="00122254" w:rsidP="00122254">
      <w:pPr>
        <w:spacing w:before="200" w:after="100" w:line="240" w:lineRule="auto"/>
        <w:outlineLvl w:val="1"/>
        <w:rPr>
          <w:rFonts w:ascii="Arial" w:eastAsia="Arial" w:hAnsi="Arial" w:cs="Arial"/>
          <w:b/>
          <w:bCs/>
          <w:kern w:val="0"/>
          <w14:ligatures w14:val="none"/>
        </w:rPr>
      </w:pPr>
      <w:r w:rsidRPr="00122254">
        <w:rPr>
          <w:rFonts w:ascii="Arial" w:eastAsia="Arial" w:hAnsi="Arial" w:cs="Arial"/>
          <w:b/>
          <w:bCs/>
          <w:kern w:val="0"/>
          <w14:ligatures w14:val="none"/>
        </w:rPr>
        <w:t>Bottom line</w:t>
      </w:r>
    </w:p>
    <w:p w14:paraId="1E0E6A01"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kern w:val="0"/>
          <w:sz w:val="22"/>
          <w:szCs w:val="22"/>
          <w14:ligatures w14:val="none"/>
        </w:rPr>
        <w:t xml:space="preserve">CSBG continues to be a well-fit, low-risk, high-value funding stream </w:t>
      </w:r>
      <w:proofErr w:type="gramStart"/>
      <w:r w:rsidRPr="00122254">
        <w:rPr>
          <w:rFonts w:ascii="Arial" w:eastAsia="Arial" w:hAnsi="Arial" w:cs="Arial"/>
          <w:kern w:val="0"/>
          <w:sz w:val="22"/>
          <w:szCs w:val="22"/>
          <w14:ligatures w14:val="none"/>
        </w:rPr>
        <w:t>for the</w:t>
      </w:r>
      <w:proofErr w:type="gramEnd"/>
      <w:r w:rsidRPr="00122254">
        <w:rPr>
          <w:rFonts w:ascii="Arial" w:eastAsia="Arial" w:hAnsi="Arial" w:cs="Arial"/>
          <w:kern w:val="0"/>
          <w:sz w:val="22"/>
          <w:szCs w:val="22"/>
          <w14:ligatures w14:val="none"/>
        </w:rPr>
        <w:t xml:space="preserve"> </w:t>
      </w:r>
      <w:proofErr w:type="gramStart"/>
      <w:r w:rsidRPr="00122254">
        <w:rPr>
          <w:rFonts w:ascii="Arial" w:eastAsia="Arial" w:hAnsi="Arial" w:cs="Arial"/>
          <w:kern w:val="0"/>
          <w:sz w:val="22"/>
          <w:szCs w:val="22"/>
          <w14:ligatures w14:val="none"/>
        </w:rPr>
        <w:t>consortium</w:t>
      </w:r>
      <w:proofErr w:type="gramEnd"/>
      <w:r w:rsidRPr="00122254">
        <w:rPr>
          <w:rFonts w:ascii="Arial" w:eastAsia="Arial" w:hAnsi="Arial" w:cs="Arial"/>
          <w:kern w:val="0"/>
          <w:sz w:val="22"/>
          <w:szCs w:val="22"/>
          <w14:ligatures w14:val="none"/>
        </w:rPr>
        <w:t xml:space="preserve"> Tribes. SPIPA recommends proceeding with the FY2027–FY2028 Tribal Plan, subject to Tribal consultation, Tribal resolutions, Fiscal approval, Leadership Team review, and Board resolution.</w:t>
      </w:r>
    </w:p>
    <w:p w14:paraId="2A055C24" w14:textId="77777777" w:rsidR="00122254" w:rsidRPr="00122254" w:rsidRDefault="00122254" w:rsidP="00122254">
      <w:pPr>
        <w:spacing w:before="200" w:after="100" w:line="240" w:lineRule="auto"/>
        <w:outlineLvl w:val="1"/>
        <w:rPr>
          <w:rFonts w:ascii="Arial" w:eastAsia="Arial" w:hAnsi="Arial" w:cs="Arial"/>
          <w:b/>
          <w:bCs/>
          <w:kern w:val="0"/>
          <w14:ligatures w14:val="none"/>
        </w:rPr>
      </w:pPr>
      <w:r w:rsidRPr="00122254">
        <w:rPr>
          <w:rFonts w:ascii="Arial" w:eastAsia="Arial" w:hAnsi="Arial" w:cs="Arial"/>
          <w:b/>
          <w:bCs/>
          <w:kern w:val="0"/>
          <w14:ligatures w14:val="none"/>
        </w:rPr>
        <w:t>Disclaimers</w:t>
      </w:r>
    </w:p>
    <w:p w14:paraId="2AAC9843" w14:textId="77777777" w:rsidR="00122254" w:rsidRPr="00122254" w:rsidRDefault="00122254" w:rsidP="00122254">
      <w:pPr>
        <w:spacing w:after="120" w:line="240" w:lineRule="auto"/>
        <w:rPr>
          <w:rFonts w:ascii="Arial" w:eastAsia="Arial" w:hAnsi="Arial" w:cs="Arial"/>
          <w:kern w:val="0"/>
          <w:sz w:val="22"/>
          <w:szCs w:val="22"/>
          <w14:ligatures w14:val="none"/>
        </w:rPr>
      </w:pPr>
      <w:r w:rsidRPr="00122254">
        <w:rPr>
          <w:rFonts w:ascii="Arial" w:eastAsia="Arial" w:hAnsi="Arial" w:cs="Arial"/>
          <w:i/>
          <w:iCs/>
          <w:kern w:val="0"/>
          <w:sz w:val="22"/>
          <w:szCs w:val="22"/>
          <w14:ligatures w14:val="none"/>
        </w:rPr>
        <w:t xml:space="preserve">Prepared by SPIPA staff as a planning and communication tool. Funding amounts </w:t>
      </w:r>
      <w:proofErr w:type="gramStart"/>
      <w:r w:rsidRPr="00122254">
        <w:rPr>
          <w:rFonts w:ascii="Arial" w:eastAsia="Arial" w:hAnsi="Arial" w:cs="Arial"/>
          <w:i/>
          <w:iCs/>
          <w:kern w:val="0"/>
          <w:sz w:val="22"/>
          <w:szCs w:val="22"/>
          <w14:ligatures w14:val="none"/>
        </w:rPr>
        <w:t>referenced</w:t>
      </w:r>
      <w:proofErr w:type="gramEnd"/>
      <w:r w:rsidRPr="00122254">
        <w:rPr>
          <w:rFonts w:ascii="Arial" w:eastAsia="Arial" w:hAnsi="Arial" w:cs="Arial"/>
          <w:i/>
          <w:iCs/>
          <w:kern w:val="0"/>
          <w:sz w:val="22"/>
          <w:szCs w:val="22"/>
          <w14:ligatures w14:val="none"/>
        </w:rPr>
        <w:t xml:space="preserve"> are historical and are not </w:t>
      </w:r>
      <w:proofErr w:type="gramStart"/>
      <w:r w:rsidRPr="00122254">
        <w:rPr>
          <w:rFonts w:ascii="Arial" w:eastAsia="Arial" w:hAnsi="Arial" w:cs="Arial"/>
          <w:i/>
          <w:iCs/>
          <w:kern w:val="0"/>
          <w:sz w:val="22"/>
          <w:szCs w:val="22"/>
          <w14:ligatures w14:val="none"/>
        </w:rPr>
        <w:t>guaranteed</w:t>
      </w:r>
      <w:proofErr w:type="gramEnd"/>
      <w:r w:rsidRPr="00122254">
        <w:rPr>
          <w:rFonts w:ascii="Arial" w:eastAsia="Arial" w:hAnsi="Arial" w:cs="Arial"/>
          <w:i/>
          <w:iCs/>
          <w:kern w:val="0"/>
          <w:sz w:val="22"/>
          <w:szCs w:val="22"/>
          <w14:ligatures w14:val="none"/>
        </w:rPr>
        <w:t xml:space="preserve"> award amounts. After funding and prior to implementation, each participating Tribe and SPIPA will execute a Memorandum of Agreement.</w:t>
      </w:r>
    </w:p>
    <w:p w14:paraId="64A173FC" w14:textId="77777777" w:rsidR="00072481" w:rsidRDefault="00072481"/>
    <w:sectPr w:rsidR="00072481" w:rsidSect="002277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3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A49D" w14:textId="77777777" w:rsidR="008627D3" w:rsidRDefault="008627D3" w:rsidP="00122254">
      <w:pPr>
        <w:spacing w:after="0" w:line="240" w:lineRule="auto"/>
      </w:pPr>
      <w:r>
        <w:separator/>
      </w:r>
    </w:p>
  </w:endnote>
  <w:endnote w:type="continuationSeparator" w:id="0">
    <w:p w14:paraId="666A0E3B" w14:textId="77777777" w:rsidR="008627D3" w:rsidRDefault="008627D3" w:rsidP="0012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5309" w14:textId="77777777" w:rsidR="002277C7" w:rsidRDefault="00227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630133"/>
      <w:docPartObj>
        <w:docPartGallery w:val="Page Numbers (Bottom of Page)"/>
        <w:docPartUnique/>
      </w:docPartObj>
    </w:sdtPr>
    <w:sdtContent>
      <w:sdt>
        <w:sdtPr>
          <w:id w:val="-1769616900"/>
          <w:docPartObj>
            <w:docPartGallery w:val="Page Numbers (Top of Page)"/>
            <w:docPartUnique/>
          </w:docPartObj>
        </w:sdtPr>
        <w:sdtContent>
          <w:p w14:paraId="60DF8160" w14:textId="77777777" w:rsidR="002277C7" w:rsidRDefault="002277C7" w:rsidP="002277C7">
            <w:pPr>
              <w:pStyle w:val="Footer"/>
            </w:pPr>
            <w:r>
              <w:t>CSBG FY2027-28 SPIPA Executive Summary</w:t>
            </w:r>
          </w:p>
          <w:p w14:paraId="5830C551" w14:textId="79732A92" w:rsidR="00503946" w:rsidRDefault="00503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8A05" w14:textId="77777777" w:rsidR="002277C7" w:rsidRDefault="00227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B814" w14:textId="77777777" w:rsidR="008627D3" w:rsidRDefault="008627D3" w:rsidP="00122254">
      <w:pPr>
        <w:spacing w:after="0" w:line="240" w:lineRule="auto"/>
      </w:pPr>
      <w:r>
        <w:separator/>
      </w:r>
    </w:p>
  </w:footnote>
  <w:footnote w:type="continuationSeparator" w:id="0">
    <w:p w14:paraId="0944ABFB" w14:textId="77777777" w:rsidR="008627D3" w:rsidRDefault="008627D3" w:rsidP="00122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ABE8" w14:textId="77777777" w:rsidR="002277C7" w:rsidRDefault="00227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09346"/>
      <w:docPartObj>
        <w:docPartGallery w:val="Watermarks"/>
        <w:docPartUnique/>
      </w:docPartObj>
    </w:sdtPr>
    <w:sdtContent>
      <w:p w14:paraId="009FD42F" w14:textId="17E9E451" w:rsidR="002277C7" w:rsidRDefault="002277C7">
        <w:pPr>
          <w:pStyle w:val="Header"/>
        </w:pPr>
        <w:r>
          <w:rPr>
            <w:noProof/>
          </w:rPr>
          <w:pict w14:anchorId="00E0A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150E" w14:textId="77777777" w:rsidR="002277C7" w:rsidRDefault="00227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96DC0"/>
    <w:multiLevelType w:val="multilevel"/>
    <w:tmpl w:val="23FCBDB4"/>
    <w:lvl w:ilvl="0">
      <w:start w:val="1"/>
      <w:numFmt w:val="decimal"/>
      <w:lvlText w:val="%1."/>
      <w:lvlJc w:val="left"/>
      <w:pPr>
        <w:ind w:left="432" w:hanging="432"/>
      </w:pPr>
      <w:rPr>
        <w:rFonts w:ascii="Tahoma" w:hAnsi="Tahoma" w:hint="default"/>
        <w:b/>
        <w:i w:val="0"/>
      </w:rPr>
    </w:lvl>
    <w:lvl w:ilvl="1">
      <w:start w:val="1"/>
      <w:numFmt w:val="lowerLetter"/>
      <w:lvlText w:val="%2."/>
      <w:lvlJc w:val="left"/>
      <w:pPr>
        <w:ind w:left="792" w:hanging="360"/>
      </w:pPr>
      <w:rPr>
        <w:rFonts w:hint="default"/>
      </w:rPr>
    </w:lvl>
    <w:lvl w:ilvl="2">
      <w:start w:val="1"/>
      <w:numFmt w:val="none"/>
      <w:lvlText w:val="%3"/>
      <w:lvlJc w:val="left"/>
      <w:pPr>
        <w:ind w:left="1080" w:hanging="360"/>
      </w:pPr>
      <w:rPr>
        <w:rFonts w:hint="default"/>
      </w:rPr>
    </w:lvl>
    <w:lvl w:ilvl="3">
      <w:start w:val="1"/>
      <w:numFmt w:val="upperLetter"/>
      <w:lvlText w:val="%4."/>
      <w:lvlJc w:val="left"/>
      <w:pPr>
        <w:ind w:left="1440" w:hanging="288"/>
      </w:pPr>
      <w:rPr>
        <w:rFonts w:hint="default"/>
        <w:color w:val="auto"/>
      </w:rPr>
    </w:lvl>
    <w:lvl w:ilvl="4">
      <w:start w:val="1"/>
      <w:numFmt w:val="bullet"/>
      <w:lvlText w:val=""/>
      <w:lvlJc w:val="left"/>
      <w:pPr>
        <w:ind w:left="1728" w:hanging="216"/>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300358"/>
    <w:multiLevelType w:val="multilevel"/>
    <w:tmpl w:val="0D7A6CBC"/>
    <w:lvl w:ilvl="0">
      <w:start w:val="1"/>
      <w:numFmt w:val="decimal"/>
      <w:pStyle w:val="Main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19D5C72"/>
    <w:multiLevelType w:val="hybridMultilevel"/>
    <w:tmpl w:val="ADE84476"/>
    <w:lvl w:ilvl="0" w:tplc="E500EB24">
      <w:start w:val="1"/>
      <w:numFmt w:val="bullet"/>
      <w:lvlText w:val="•"/>
      <w:lvlJc w:val="left"/>
      <w:pPr>
        <w:ind w:left="720" w:hanging="360"/>
      </w:pPr>
    </w:lvl>
    <w:lvl w:ilvl="1" w:tplc="5A8AE4C8">
      <w:numFmt w:val="decimal"/>
      <w:lvlText w:val=""/>
      <w:lvlJc w:val="left"/>
    </w:lvl>
    <w:lvl w:ilvl="2" w:tplc="4954943C">
      <w:numFmt w:val="decimal"/>
      <w:lvlText w:val=""/>
      <w:lvlJc w:val="left"/>
    </w:lvl>
    <w:lvl w:ilvl="3" w:tplc="371E0696">
      <w:numFmt w:val="decimal"/>
      <w:lvlText w:val=""/>
      <w:lvlJc w:val="left"/>
    </w:lvl>
    <w:lvl w:ilvl="4" w:tplc="E1589D6A">
      <w:numFmt w:val="decimal"/>
      <w:lvlText w:val=""/>
      <w:lvlJc w:val="left"/>
    </w:lvl>
    <w:lvl w:ilvl="5" w:tplc="7C8A1C00">
      <w:numFmt w:val="decimal"/>
      <w:lvlText w:val=""/>
      <w:lvlJc w:val="left"/>
    </w:lvl>
    <w:lvl w:ilvl="6" w:tplc="B0424014">
      <w:numFmt w:val="decimal"/>
      <w:lvlText w:val=""/>
      <w:lvlJc w:val="left"/>
    </w:lvl>
    <w:lvl w:ilvl="7" w:tplc="9EDCF1FA">
      <w:numFmt w:val="decimal"/>
      <w:lvlText w:val=""/>
      <w:lvlJc w:val="left"/>
    </w:lvl>
    <w:lvl w:ilvl="8" w:tplc="AC142C1E">
      <w:numFmt w:val="decimal"/>
      <w:lvlText w:val=""/>
      <w:lvlJc w:val="left"/>
    </w:lvl>
  </w:abstractNum>
  <w:num w:numId="1" w16cid:durableId="125853643">
    <w:abstractNumId w:val="0"/>
  </w:num>
  <w:num w:numId="2" w16cid:durableId="2089692458">
    <w:abstractNumId w:val="1"/>
  </w:num>
  <w:num w:numId="3" w16cid:durableId="146643640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36"/>
    <w:rsid w:val="00072481"/>
    <w:rsid w:val="00092AA0"/>
    <w:rsid w:val="00122254"/>
    <w:rsid w:val="002277C7"/>
    <w:rsid w:val="004A3A08"/>
    <w:rsid w:val="00503946"/>
    <w:rsid w:val="00524DBC"/>
    <w:rsid w:val="008627D3"/>
    <w:rsid w:val="00933FAE"/>
    <w:rsid w:val="009700D1"/>
    <w:rsid w:val="00A60C2F"/>
    <w:rsid w:val="00E62A9E"/>
    <w:rsid w:val="00EB0636"/>
    <w:rsid w:val="00ED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A515E"/>
  <w15:chartTrackingRefBased/>
  <w15:docId w15:val="{AAE34F76-00EC-4E5B-9736-B63C4B92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Section">
    <w:name w:val="Main Section"/>
    <w:basedOn w:val="ListParagraph"/>
    <w:link w:val="MainSectionChar"/>
    <w:qFormat/>
    <w:rsid w:val="00092AA0"/>
    <w:pPr>
      <w:numPr>
        <w:numId w:val="2"/>
      </w:numPr>
      <w:spacing w:after="120" w:line="240" w:lineRule="auto"/>
      <w:ind w:left="432" w:hanging="432"/>
    </w:pPr>
    <w:rPr>
      <w:rFonts w:ascii="Tahoma" w:eastAsia="Tahoma" w:hAnsi="Tahoma" w:cs="Tahoma"/>
      <w:b/>
      <w:bCs/>
      <w:u w:val="single"/>
    </w:rPr>
  </w:style>
  <w:style w:type="character" w:customStyle="1" w:styleId="MainSectionChar">
    <w:name w:val="Main Section Char"/>
    <w:basedOn w:val="DefaultParagraphFont"/>
    <w:link w:val="MainSection"/>
    <w:rsid w:val="00092AA0"/>
    <w:rPr>
      <w:rFonts w:ascii="Tahoma" w:eastAsia="Tahoma" w:hAnsi="Tahoma" w:cs="Tahoma"/>
      <w:b/>
      <w:bCs/>
      <w:u w:val="single"/>
    </w:rPr>
  </w:style>
  <w:style w:type="paragraph" w:styleId="ListParagraph">
    <w:name w:val="List Paragraph"/>
    <w:basedOn w:val="Normal"/>
    <w:uiPriority w:val="34"/>
    <w:qFormat/>
    <w:rsid w:val="00092AA0"/>
    <w:pPr>
      <w:ind w:left="720"/>
      <w:contextualSpacing/>
    </w:pPr>
  </w:style>
  <w:style w:type="character" w:customStyle="1" w:styleId="Heading1Char">
    <w:name w:val="Heading 1 Char"/>
    <w:basedOn w:val="DefaultParagraphFont"/>
    <w:link w:val="Heading1"/>
    <w:uiPriority w:val="9"/>
    <w:rsid w:val="00EB0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636"/>
    <w:rPr>
      <w:rFonts w:eastAsiaTheme="majorEastAsia" w:cstheme="majorBidi"/>
      <w:color w:val="272727" w:themeColor="text1" w:themeTint="D8"/>
    </w:rPr>
  </w:style>
  <w:style w:type="paragraph" w:styleId="Title">
    <w:name w:val="Title"/>
    <w:basedOn w:val="Normal"/>
    <w:next w:val="Normal"/>
    <w:link w:val="TitleChar"/>
    <w:uiPriority w:val="10"/>
    <w:qFormat/>
    <w:rsid w:val="00EB0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636"/>
    <w:pPr>
      <w:spacing w:before="160"/>
      <w:jc w:val="center"/>
    </w:pPr>
    <w:rPr>
      <w:i/>
      <w:iCs/>
      <w:color w:val="404040" w:themeColor="text1" w:themeTint="BF"/>
    </w:rPr>
  </w:style>
  <w:style w:type="character" w:customStyle="1" w:styleId="QuoteChar">
    <w:name w:val="Quote Char"/>
    <w:basedOn w:val="DefaultParagraphFont"/>
    <w:link w:val="Quote"/>
    <w:uiPriority w:val="29"/>
    <w:rsid w:val="00EB0636"/>
    <w:rPr>
      <w:i/>
      <w:iCs/>
      <w:color w:val="404040" w:themeColor="text1" w:themeTint="BF"/>
    </w:rPr>
  </w:style>
  <w:style w:type="character" w:styleId="IntenseEmphasis">
    <w:name w:val="Intense Emphasis"/>
    <w:basedOn w:val="DefaultParagraphFont"/>
    <w:uiPriority w:val="21"/>
    <w:qFormat/>
    <w:rsid w:val="00EB0636"/>
    <w:rPr>
      <w:i/>
      <w:iCs/>
      <w:color w:val="0F4761" w:themeColor="accent1" w:themeShade="BF"/>
    </w:rPr>
  </w:style>
  <w:style w:type="paragraph" w:styleId="IntenseQuote">
    <w:name w:val="Intense Quote"/>
    <w:basedOn w:val="Normal"/>
    <w:next w:val="Normal"/>
    <w:link w:val="IntenseQuoteChar"/>
    <w:uiPriority w:val="30"/>
    <w:qFormat/>
    <w:rsid w:val="00EB0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636"/>
    <w:rPr>
      <w:i/>
      <w:iCs/>
      <w:color w:val="0F4761" w:themeColor="accent1" w:themeShade="BF"/>
    </w:rPr>
  </w:style>
  <w:style w:type="character" w:styleId="IntenseReference">
    <w:name w:val="Intense Reference"/>
    <w:basedOn w:val="DefaultParagraphFont"/>
    <w:uiPriority w:val="32"/>
    <w:qFormat/>
    <w:rsid w:val="00EB0636"/>
    <w:rPr>
      <w:b/>
      <w:bCs/>
      <w:smallCaps/>
      <w:color w:val="0F4761" w:themeColor="accent1" w:themeShade="BF"/>
      <w:spacing w:val="5"/>
    </w:rPr>
  </w:style>
  <w:style w:type="paragraph" w:styleId="Header">
    <w:name w:val="header"/>
    <w:basedOn w:val="Normal"/>
    <w:link w:val="HeaderChar"/>
    <w:uiPriority w:val="99"/>
    <w:unhideWhenUsed/>
    <w:rsid w:val="00122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254"/>
  </w:style>
  <w:style w:type="paragraph" w:styleId="Footer">
    <w:name w:val="footer"/>
    <w:basedOn w:val="Normal"/>
    <w:link w:val="FooterChar"/>
    <w:uiPriority w:val="99"/>
    <w:unhideWhenUsed/>
    <w:rsid w:val="00122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852B5C37664CB94427EC625BF512" ma:contentTypeVersion="14" ma:contentTypeDescription="Create a new document." ma:contentTypeScope="" ma:versionID="d469a2765f1c08fc1a94f676c7fa11d0">
  <xsd:schema xmlns:xsd="http://www.w3.org/2001/XMLSchema" xmlns:xs="http://www.w3.org/2001/XMLSchema" xmlns:p="http://schemas.microsoft.com/office/2006/metadata/properties" xmlns:ns2="8b189914-738b-4e44-b188-18f103c56ee1" xmlns:ns3="7b06613b-1ce7-4e5a-b7e6-9baa5288ae30" targetNamespace="http://schemas.microsoft.com/office/2006/metadata/properties" ma:root="true" ma:fieldsID="627b1977a9f9aa1441d15f82bf735d7c" ns2:_="" ns3:_="">
    <xsd:import namespace="8b189914-738b-4e44-b188-18f103c56ee1"/>
    <xsd:import namespace="7b06613b-1ce7-4e5a-b7e6-9baa5288ae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89914-738b-4e44-b188-18f103c56e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04372a8-c232-43b9-ae97-32898c634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6613b-1ce7-4e5a-b7e6-9baa5288ae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b92a7b-e9b9-465c-a875-3d708a4e9afa}" ma:internalName="TaxCatchAll" ma:showField="CatchAllData" ma:web="7b06613b-1ce7-4e5a-b7e6-9baa5288ae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06613b-1ce7-4e5a-b7e6-9baa5288ae30" xsi:nil="true"/>
    <lcf76f155ced4ddcb4097134ff3c332f xmlns="8b189914-738b-4e44-b188-18f103c56e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6151F6-9CAA-4E22-B991-EC5D9710CB0E}"/>
</file>

<file path=customXml/itemProps2.xml><?xml version="1.0" encoding="utf-8"?>
<ds:datastoreItem xmlns:ds="http://schemas.openxmlformats.org/officeDocument/2006/customXml" ds:itemID="{B6581BA7-4712-4E92-A04C-C742CEEEEEA8}"/>
</file>

<file path=customXml/itemProps3.xml><?xml version="1.0" encoding="utf-8"?>
<ds:datastoreItem xmlns:ds="http://schemas.openxmlformats.org/officeDocument/2006/customXml" ds:itemID="{8669AECD-CCC5-4F2E-8F88-9F1F92180645}"/>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Reyes</dc:creator>
  <cp:keywords/>
  <dc:description/>
  <cp:lastModifiedBy>Joseph Reyes</cp:lastModifiedBy>
  <cp:revision>5</cp:revision>
  <dcterms:created xsi:type="dcterms:W3CDTF">2026-04-24T16:29:00Z</dcterms:created>
  <dcterms:modified xsi:type="dcterms:W3CDTF">2026-04-24T16:32:00Z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0x0101009102852B5C37664CB94427EC625BF512</vt:lpwstr>
  </property>
</Properties>
</file>